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line="490" w:lineRule="atLeast"/>
        <w:ind w:firstLine="720"/>
        <w:jc w:val="center"/>
        <w:rPr>
          <w:rFonts w:ascii="宋体" w:hAnsi="宋体" w:cs="宋体"/>
          <w:kern w:val="0"/>
          <w:sz w:val="24"/>
        </w:rPr>
      </w:pPr>
      <w:bookmarkStart w:id="0" w:name="_GoBack"/>
      <w:bookmarkEnd w:id="0"/>
      <w:r>
        <w:rPr>
          <w:rFonts w:hint="eastAsia" w:ascii="黑体" w:hAnsi="宋体" w:eastAsia="黑体" w:cs="宋体"/>
          <w:kern w:val="0"/>
          <w:sz w:val="36"/>
          <w:szCs w:val="36"/>
        </w:rPr>
        <w:t>湖北医药学院</w:t>
      </w:r>
      <w:r>
        <w:rPr>
          <w:rFonts w:hint="eastAsia" w:ascii="黑体" w:hAnsi="宋体" w:eastAsia="黑体" w:cs="宋体"/>
          <w:kern w:val="0"/>
          <w:sz w:val="36"/>
          <w:szCs w:val="36"/>
          <w:lang w:eastAsia="zh-CN"/>
        </w:rPr>
        <w:t>非教师</w:t>
      </w:r>
      <w:r>
        <w:rPr>
          <w:rFonts w:hint="eastAsia" w:ascii="黑体" w:hAnsi="宋体" w:eastAsia="黑体" w:cs="宋体"/>
          <w:kern w:val="0"/>
          <w:sz w:val="36"/>
          <w:szCs w:val="36"/>
        </w:rPr>
        <w:t>专业技术岗位</w:t>
      </w:r>
    </w:p>
    <w:p>
      <w:pPr>
        <w:widowControl/>
        <w:snapToGrid w:val="0"/>
        <w:spacing w:before="100" w:beforeAutospacing="1" w:after="100" w:afterAutospacing="1" w:line="490" w:lineRule="atLeast"/>
        <w:ind w:firstLine="720"/>
        <w:jc w:val="center"/>
        <w:rPr>
          <w:rFonts w:hint="eastAsia" w:ascii="黑体" w:hAnsi="宋体" w:eastAsia="黑体" w:cs="宋体"/>
          <w:kern w:val="0"/>
          <w:sz w:val="36"/>
          <w:szCs w:val="36"/>
          <w:lang w:eastAsia="zh-CN"/>
        </w:rPr>
      </w:pPr>
      <w:r>
        <w:rPr>
          <w:rFonts w:hint="eastAsia" w:ascii="黑体" w:hAnsi="宋体" w:eastAsia="黑体" w:cs="宋体"/>
          <w:kern w:val="0"/>
          <w:sz w:val="36"/>
          <w:szCs w:val="36"/>
        </w:rPr>
        <w:t>设置与聘用实施细则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为进一步调动</w:t>
      </w:r>
      <w:r>
        <w:rPr>
          <w:rFonts w:hint="eastAsia" w:ascii="仿宋_GB2312" w:hAnsi="仿宋_GB2312" w:eastAsia="仿宋_GB2312" w:cs="仿宋_GB2312"/>
          <w:sz w:val="32"/>
          <w:szCs w:val="32"/>
          <w:lang w:eastAsia="zh-CN"/>
        </w:rPr>
        <w:t>非教师</w:t>
      </w:r>
      <w:r>
        <w:rPr>
          <w:rFonts w:hint="eastAsia" w:ascii="仿宋_GB2312" w:hAnsi="仿宋_GB2312" w:eastAsia="仿宋_GB2312" w:cs="仿宋_GB2312"/>
          <w:sz w:val="32"/>
          <w:szCs w:val="32"/>
        </w:rPr>
        <w:t>专业技术人员的工作积极性，保障教学、科研与人才培养工作的顺利进行，</w:t>
      </w:r>
      <w:r>
        <w:rPr>
          <w:rFonts w:hint="eastAsia" w:ascii="仿宋_GB2312" w:hAnsi="仿宋_GB2312" w:eastAsia="仿宋_GB2312" w:cs="仿宋_GB2312"/>
          <w:sz w:val="32"/>
          <w:szCs w:val="32"/>
          <w:lang w:val="en-US" w:eastAsia="zh-CN"/>
        </w:rPr>
        <w:t>根据国家、省厅关于岗位设置管理的相关文件和</w:t>
      </w:r>
      <w:r>
        <w:rPr>
          <w:rFonts w:hint="eastAsia" w:ascii="仿宋_GB2312" w:hAnsi="仿宋_GB2312" w:eastAsia="仿宋_GB2312" w:cs="仿宋_GB2312"/>
          <w:sz w:val="32"/>
          <w:szCs w:val="32"/>
        </w:rPr>
        <w:t>《湖北医药学院岗位设置与聘</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管理实施办法》，</w:t>
      </w:r>
      <w:r>
        <w:rPr>
          <w:rFonts w:hint="eastAsia" w:ascii="仿宋_GB2312" w:hAnsi="仿宋_GB2312" w:eastAsia="仿宋_GB2312" w:cs="仿宋_GB2312"/>
          <w:sz w:val="32"/>
          <w:szCs w:val="32"/>
          <w:lang w:val="en-US" w:eastAsia="zh-CN"/>
        </w:rPr>
        <w:t>结合学校实际，</w:t>
      </w:r>
      <w:r>
        <w:rPr>
          <w:rFonts w:hint="eastAsia" w:ascii="仿宋_GB2312" w:hAnsi="仿宋_GB2312" w:eastAsia="仿宋_GB2312" w:cs="仿宋_GB2312"/>
          <w:sz w:val="32"/>
          <w:szCs w:val="32"/>
        </w:rPr>
        <w:t>制定本实施细则。</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一、岗位设置</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（一）设置范围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非教师</w:t>
      </w:r>
      <w:r>
        <w:rPr>
          <w:rFonts w:hint="eastAsia" w:ascii="仿宋_GB2312" w:hAnsi="仿宋_GB2312" w:eastAsia="仿宋_GB2312" w:cs="仿宋_GB2312"/>
          <w:sz w:val="32"/>
          <w:szCs w:val="32"/>
        </w:rPr>
        <w:t>专业技术岗位是指为教育教学和科学研究工作提供技术支持或辅助服务，具有相应专业技术水平和能力要求的岗位。</w:t>
      </w:r>
      <w:r>
        <w:rPr>
          <w:rFonts w:hint="eastAsia" w:ascii="仿宋_GB2312" w:hAnsi="仿宋_GB2312" w:eastAsia="仿宋_GB2312" w:cs="仿宋_GB2312"/>
          <w:sz w:val="32"/>
          <w:szCs w:val="32"/>
          <w:lang w:eastAsia="zh-CN"/>
        </w:rPr>
        <w:t>我校非教师</w:t>
      </w:r>
      <w:r>
        <w:rPr>
          <w:rFonts w:hint="eastAsia" w:ascii="仿宋_GB2312" w:hAnsi="仿宋_GB2312" w:eastAsia="仿宋_GB2312" w:cs="仿宋_GB2312"/>
          <w:sz w:val="32"/>
          <w:szCs w:val="32"/>
        </w:rPr>
        <w:t>专业技术岗位</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设实验技术、图书资料、档案、编辑出版、会计、审计、医疗卫生、工程技术等岗位。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1.实验技术岗位：设在从事教学、科研的院系及相关部门</w:t>
      </w:r>
      <w:r>
        <w:rPr>
          <w:rFonts w:hint="eastAsia" w:ascii="仿宋_GB2312" w:hAnsi="仿宋_GB2312" w:eastAsia="仿宋_GB2312" w:cs="仿宋_GB2312"/>
          <w:sz w:val="32"/>
          <w:szCs w:val="32"/>
          <w:lang w:eastAsia="zh-CN"/>
        </w:rPr>
        <w:t>（实验平台）</w:t>
      </w:r>
      <w:r>
        <w:rPr>
          <w:rFonts w:hint="eastAsia" w:ascii="仿宋_GB2312" w:hAnsi="仿宋_GB2312" w:eastAsia="仿宋_GB2312" w:cs="仿宋_GB2312"/>
          <w:sz w:val="32"/>
          <w:szCs w:val="32"/>
        </w:rPr>
        <w:t>教学辅助科室；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2.图书资料、档案岗位：设在图书馆、</w:t>
      </w:r>
      <w:r>
        <w:rPr>
          <w:rFonts w:hint="eastAsia" w:ascii="仿宋_GB2312" w:hAnsi="仿宋_GB2312" w:eastAsia="仿宋_GB2312" w:cs="仿宋_GB2312"/>
          <w:sz w:val="32"/>
          <w:szCs w:val="32"/>
          <w:lang w:eastAsia="zh-CN"/>
        </w:rPr>
        <w:t>档案馆、校史馆等</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CN"/>
        </w:rPr>
        <w:t>图书、</w:t>
      </w:r>
      <w:r>
        <w:rPr>
          <w:rFonts w:hint="eastAsia" w:ascii="仿宋_GB2312" w:hAnsi="仿宋_GB2312" w:eastAsia="仿宋_GB2312" w:cs="仿宋_GB2312"/>
          <w:sz w:val="32"/>
          <w:szCs w:val="32"/>
        </w:rPr>
        <w:t>档案管理部门岗位：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3.编辑出版专业岗位：设在学报、</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报编辑部；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4.会计、审计技术岗位：设在财务处、审计处</w:t>
      </w:r>
      <w:r>
        <w:rPr>
          <w:rFonts w:hint="eastAsia" w:ascii="仿宋_GB2312" w:hAnsi="仿宋_GB2312" w:eastAsia="仿宋_GB2312" w:cs="仿宋_GB2312"/>
          <w:sz w:val="32"/>
          <w:szCs w:val="32"/>
          <w:lang w:eastAsia="zh-CN"/>
        </w:rPr>
        <w:t>、资产管理处</w:t>
      </w:r>
      <w:r>
        <w:rPr>
          <w:rFonts w:hint="eastAsia" w:ascii="仿宋_GB2312" w:hAnsi="仿宋_GB2312" w:eastAsia="仿宋_GB2312" w:cs="仿宋_GB2312"/>
          <w:sz w:val="32"/>
          <w:szCs w:val="32"/>
        </w:rPr>
        <w:t>等相关部门；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5.卫生技术岗位：设在</w:t>
      </w:r>
      <w:r>
        <w:rPr>
          <w:rFonts w:hint="eastAsia" w:ascii="仿宋_GB2312" w:hAnsi="仿宋_GB2312" w:eastAsia="仿宋_GB2312" w:cs="仿宋_GB2312"/>
          <w:sz w:val="32"/>
          <w:szCs w:val="32"/>
          <w:lang w:eastAsia="zh-CN"/>
        </w:rPr>
        <w:t>堰桥医院、医务室</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6.工程技术岗位：设在后勤</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、信息网络中心、教务处</w:t>
      </w:r>
      <w:r>
        <w:rPr>
          <w:rFonts w:hint="eastAsia" w:ascii="仿宋_GB2312" w:hAnsi="仿宋_GB2312" w:eastAsia="仿宋_GB2312" w:cs="仿宋_GB2312"/>
          <w:sz w:val="32"/>
          <w:szCs w:val="32"/>
        </w:rPr>
        <w:t>等相关部门。</w:t>
      </w:r>
    </w:p>
    <w:p>
      <w:pPr>
        <w:widowControl/>
        <w:snapToGrid w:val="0"/>
        <w:spacing w:before="100" w:beforeAutospacing="1" w:after="100" w:afterAutospacing="1" w:line="490" w:lineRule="atLeast"/>
        <w:ind w:firstLine="480"/>
        <w:jc w:val="left"/>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（二）岗位</w:t>
      </w:r>
      <w:r>
        <w:rPr>
          <w:rFonts w:hint="eastAsia" w:ascii="仿宋_GB2312" w:hAnsi="宋体" w:eastAsia="仿宋_GB2312" w:cs="宋体"/>
          <w:b/>
          <w:bCs/>
          <w:kern w:val="0"/>
          <w:sz w:val="32"/>
          <w:szCs w:val="32"/>
          <w:lang w:eastAsia="zh-CN"/>
        </w:rPr>
        <w:t>总量</w:t>
      </w:r>
      <w:r>
        <w:rPr>
          <w:rFonts w:hint="eastAsia" w:ascii="仿宋_GB2312" w:hAnsi="宋体" w:eastAsia="仿宋_GB2312" w:cs="宋体"/>
          <w:b/>
          <w:bCs/>
          <w:kern w:val="0"/>
          <w:sz w:val="32"/>
          <w:szCs w:val="32"/>
        </w:rPr>
        <w:t>与结构比例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非教师专业技术岗位总量控制在学校岗位总量的15%以内。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非教师专业技术高级职称不超过非教师专业技术岗位的20%</w:t>
      </w:r>
      <w:r>
        <w:rPr>
          <w:rFonts w:hint="eastAsia" w:ascii="仿宋_GB2312" w:hAnsi="仿宋_GB2312" w:eastAsia="仿宋_GB2312" w:cs="仿宋_GB2312"/>
          <w:sz w:val="32"/>
          <w:szCs w:val="32"/>
          <w:lang w:eastAsia="zh-CN"/>
        </w:rPr>
        <w:t>，其中正高级岗位限量设置</w:t>
      </w:r>
      <w:r>
        <w:rPr>
          <w:rFonts w:hint="eastAsia" w:ascii="仿宋_GB2312" w:hAnsi="仿宋_GB2312" w:eastAsia="仿宋_GB2312" w:cs="仿宋_GB2312"/>
          <w:sz w:val="32"/>
          <w:szCs w:val="32"/>
          <w:lang w:val="en-US" w:eastAsia="zh-CN"/>
        </w:rPr>
        <w:t>4个岗位。</w:t>
      </w:r>
      <w:r>
        <w:rPr>
          <w:rFonts w:hint="eastAsia" w:ascii="仿宋_GB2312" w:hAnsi="仿宋_GB2312" w:eastAsia="仿宋_GB2312" w:cs="仿宋_GB2312"/>
          <w:sz w:val="32"/>
          <w:szCs w:val="32"/>
        </w:rPr>
        <w:t>同时，非教师专业技术岗位中高级、中级、初级各占20%、40%、40%。</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为调动各类人员的工作积极性，学校拟在非教师专业技术岗位中设置一定比例的最高等级。副高五至七级和中级八至十级岗位结构比例分别按1:4:5切分，初级十一级、十</w:t>
      </w:r>
      <w:r>
        <w:rPr>
          <w:rFonts w:hint="eastAsia" w:ascii="仿宋_GB2312" w:hAnsi="仿宋_GB2312" w:eastAsia="仿宋_GB2312" w:cs="仿宋_GB2312"/>
          <w:sz w:val="32"/>
          <w:szCs w:val="32"/>
          <w:lang w:eastAsia="zh-CN"/>
        </w:rPr>
        <w:t>二级岗位结构比例按5:5切分。</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二、岗位职责</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（一）基本职责</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严格实行坐班制</w:t>
      </w:r>
      <w:r>
        <w:rPr>
          <w:rFonts w:hint="eastAsia" w:ascii="仿宋_GB2312" w:hAnsi="仿宋_GB2312" w:eastAsia="仿宋_GB2312" w:cs="仿宋_GB2312"/>
          <w:sz w:val="32"/>
          <w:szCs w:val="32"/>
          <w:lang w:eastAsia="zh-CN"/>
        </w:rPr>
        <w:t>，为学校教学科研及其它各项工作提供专业技术服务，完成岗位工作量。</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1.正高级岗位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（1）掌握国内外的本专业发展动态，对专业发展进行规划、设计，并组织实施，取得标志性成果；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（2）主持工作研究和学术交流，解决关键性技术问题，在本学科（行业）权威性刊物上发表高水平的学术论文或出版著作；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（3）对本单位的改革与发展提出建设性意见；</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（4）指导和培养副高和中级技术人员。</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2.副高级岗位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（1）了解本专业国内外发展动态,参与专业规划并协助实施,取得建设性成果;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（2）作为技术骨干积极开展工作研究和学术交流,解决工作中的技术难题,在本学科（行业）核心刊物上发表高水平的学术论文,或编写技术指导书;</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（3）指导和培养中级以下技术人员。</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3.中级岗位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（1）积极参与专业规划的实施，取得较好的成果；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（2）积极开展工作研究,解决工作中的技术问题,在本学科（行业）核心刊物上发表学术论文,或参与编写技术指导书;</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（3）指导初级技术人员，完成岗位工作量。</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4.初级岗位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积极开展工作研究,处理工作中的技术问题。 </w:t>
      </w:r>
    </w:p>
    <w:p>
      <w:pPr>
        <w:widowControl/>
        <w:snapToGrid w:val="0"/>
        <w:spacing w:before="100" w:beforeAutospacing="1" w:after="100" w:afterAutospacing="1" w:line="490" w:lineRule="atLeast"/>
        <w:ind w:firstLine="643" w:firstLineChars="200"/>
        <w:jc w:val="left"/>
        <w:rPr>
          <w:rFonts w:ascii="宋体" w:hAnsi="宋体" w:cs="宋体"/>
          <w:b/>
          <w:bCs/>
          <w:kern w:val="0"/>
          <w:sz w:val="24"/>
        </w:rPr>
      </w:pPr>
      <w:r>
        <w:rPr>
          <w:rFonts w:hint="eastAsia" w:ascii="仿宋_GB2312" w:hAnsi="宋体" w:eastAsia="仿宋_GB2312" w:cs="宋体"/>
          <w:b/>
          <w:bCs/>
          <w:kern w:val="0"/>
          <w:sz w:val="32"/>
          <w:szCs w:val="32"/>
        </w:rPr>
        <w:t>（二）科研任务</w:t>
      </w:r>
    </w:p>
    <w:p>
      <w:pPr>
        <w:widowControl/>
        <w:snapToGrid w:val="0"/>
        <w:spacing w:before="100" w:beforeAutospacing="1" w:after="100" w:afterAutospacing="1" w:line="490" w:lineRule="atLeast"/>
        <w:ind w:firstLine="640"/>
        <w:jc w:val="left"/>
        <w:rPr>
          <w:rFonts w:hint="default" w:ascii="宋体" w:hAnsi="宋体" w:eastAsia="仿宋_GB2312" w:cs="宋体"/>
          <w:kern w:val="0"/>
          <w:sz w:val="24"/>
          <w:lang w:val="en-US" w:eastAsia="zh-CN"/>
        </w:rPr>
      </w:pPr>
      <w:r>
        <w:rPr>
          <w:rFonts w:hint="eastAsia" w:ascii="仿宋_GB2312" w:hAnsi="宋体" w:eastAsia="仿宋_GB2312" w:cs="宋体"/>
          <w:kern w:val="0"/>
          <w:sz w:val="32"/>
          <w:szCs w:val="32"/>
        </w:rPr>
        <w:t>非教师专业技术各级岗位聘期内应完成的最低科研量化分见下表。</w:t>
      </w:r>
      <w:r>
        <w:rPr>
          <w:rFonts w:hint="eastAsia" w:ascii="仿宋_GB2312" w:hAnsi="宋体" w:eastAsia="仿宋_GB2312" w:cs="宋体"/>
          <w:kern w:val="0"/>
          <w:sz w:val="32"/>
          <w:szCs w:val="32"/>
          <w:lang w:eastAsia="zh-CN"/>
        </w:rPr>
        <w:t>其中，机关党政部门内设置的非教师专业技术岗位人员的科研任务按照相应标准的</w:t>
      </w:r>
      <w:r>
        <w:rPr>
          <w:rFonts w:hint="eastAsia" w:ascii="仿宋_GB2312" w:hAnsi="宋体" w:eastAsia="仿宋_GB2312" w:cs="宋体"/>
          <w:kern w:val="0"/>
          <w:sz w:val="32"/>
          <w:szCs w:val="32"/>
          <w:lang w:val="en-US" w:eastAsia="zh-CN"/>
        </w:rPr>
        <w:t>50%折算。同时，享受科研减免的人员要履行好所在部门（科室）的管理职责，严格实行“一岗双责”进行严格考核。</w:t>
      </w:r>
    </w:p>
    <w:tbl>
      <w:tblPr>
        <w:tblStyle w:val="2"/>
        <w:tblW w:w="10306" w:type="dxa"/>
        <w:jc w:val="center"/>
        <w:tblLayout w:type="fixed"/>
        <w:tblCellMar>
          <w:top w:w="0" w:type="dxa"/>
          <w:left w:w="0" w:type="dxa"/>
          <w:bottom w:w="0" w:type="dxa"/>
          <w:right w:w="0" w:type="dxa"/>
        </w:tblCellMar>
      </w:tblPr>
      <w:tblGrid>
        <w:gridCol w:w="1138"/>
        <w:gridCol w:w="915"/>
        <w:gridCol w:w="916"/>
        <w:gridCol w:w="915"/>
        <w:gridCol w:w="916"/>
        <w:gridCol w:w="915"/>
        <w:gridCol w:w="916"/>
        <w:gridCol w:w="1201"/>
        <w:gridCol w:w="1233"/>
        <w:gridCol w:w="1241"/>
      </w:tblGrid>
      <w:tr>
        <w:tblPrEx>
          <w:tblCellMar>
            <w:top w:w="0" w:type="dxa"/>
            <w:left w:w="0" w:type="dxa"/>
            <w:bottom w:w="0" w:type="dxa"/>
            <w:right w:w="0" w:type="dxa"/>
          </w:tblCellMar>
        </w:tblPrEx>
        <w:trPr>
          <w:trHeight w:val="851" w:hRule="atLeast"/>
          <w:jc w:val="center"/>
        </w:trPr>
        <w:tc>
          <w:tcPr>
            <w:tcW w:w="113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32"/>
                <w:szCs w:val="32"/>
              </w:rPr>
              <w:t>岗位</w:t>
            </w:r>
          </w:p>
        </w:tc>
        <w:tc>
          <w:tcPr>
            <w:tcW w:w="91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32"/>
                <w:szCs w:val="32"/>
                <w:lang w:eastAsia="zh-CN"/>
              </w:rPr>
              <w:t>四</w:t>
            </w:r>
            <w:r>
              <w:rPr>
                <w:rFonts w:hint="eastAsia" w:ascii="仿宋_GB2312" w:hAnsi="宋体" w:eastAsia="仿宋_GB2312" w:cs="宋体"/>
                <w:color w:val="FF0000"/>
                <w:kern w:val="0"/>
                <w:sz w:val="32"/>
                <w:szCs w:val="32"/>
              </w:rPr>
              <w:t>级</w:t>
            </w:r>
          </w:p>
        </w:tc>
        <w:tc>
          <w:tcPr>
            <w:tcW w:w="9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32"/>
                <w:szCs w:val="32"/>
              </w:rPr>
              <w:t>五级</w:t>
            </w:r>
          </w:p>
        </w:tc>
        <w:tc>
          <w:tcPr>
            <w:tcW w:w="91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32"/>
                <w:szCs w:val="32"/>
              </w:rPr>
              <w:t>六级</w:t>
            </w:r>
          </w:p>
        </w:tc>
        <w:tc>
          <w:tcPr>
            <w:tcW w:w="9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32"/>
                <w:szCs w:val="32"/>
              </w:rPr>
              <w:t>七级</w:t>
            </w:r>
          </w:p>
        </w:tc>
        <w:tc>
          <w:tcPr>
            <w:tcW w:w="91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32"/>
                <w:szCs w:val="32"/>
              </w:rPr>
              <w:t>八级</w:t>
            </w:r>
          </w:p>
        </w:tc>
        <w:tc>
          <w:tcPr>
            <w:tcW w:w="9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32"/>
                <w:szCs w:val="32"/>
              </w:rPr>
              <w:t>九级</w:t>
            </w:r>
          </w:p>
        </w:tc>
        <w:tc>
          <w:tcPr>
            <w:tcW w:w="12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32"/>
                <w:szCs w:val="32"/>
              </w:rPr>
              <w:t>十级</w:t>
            </w:r>
          </w:p>
        </w:tc>
        <w:tc>
          <w:tcPr>
            <w:tcW w:w="123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32"/>
                <w:szCs w:val="32"/>
              </w:rPr>
              <w:t>十一级</w:t>
            </w:r>
          </w:p>
        </w:tc>
        <w:tc>
          <w:tcPr>
            <w:tcW w:w="124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32"/>
                <w:szCs w:val="32"/>
              </w:rPr>
              <w:t>十</w:t>
            </w:r>
            <w:r>
              <w:rPr>
                <w:rFonts w:hint="eastAsia" w:ascii="仿宋_GB2312" w:hAnsi="宋体" w:eastAsia="仿宋_GB2312" w:cs="宋体"/>
                <w:color w:val="FF0000"/>
                <w:kern w:val="0"/>
                <w:sz w:val="32"/>
                <w:szCs w:val="32"/>
                <w:lang w:eastAsia="zh-CN"/>
              </w:rPr>
              <w:t>二</w:t>
            </w:r>
            <w:r>
              <w:rPr>
                <w:rFonts w:hint="eastAsia" w:ascii="仿宋_GB2312" w:hAnsi="宋体" w:eastAsia="仿宋_GB2312" w:cs="宋体"/>
                <w:color w:val="FF0000"/>
                <w:kern w:val="0"/>
                <w:sz w:val="32"/>
                <w:szCs w:val="32"/>
              </w:rPr>
              <w:t>级</w:t>
            </w:r>
          </w:p>
        </w:tc>
      </w:tr>
      <w:tr>
        <w:tblPrEx>
          <w:tblCellMar>
            <w:top w:w="0" w:type="dxa"/>
            <w:left w:w="0" w:type="dxa"/>
            <w:bottom w:w="0" w:type="dxa"/>
            <w:right w:w="0" w:type="dxa"/>
          </w:tblCellMar>
        </w:tblPrEx>
        <w:trPr>
          <w:trHeight w:val="851" w:hRule="atLeast"/>
          <w:jc w:val="center"/>
        </w:trPr>
        <w:tc>
          <w:tcPr>
            <w:tcW w:w="113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90" w:lineRule="atLeast"/>
              <w:jc w:val="center"/>
              <w:rPr>
                <w:rFonts w:ascii="宋体" w:hAnsi="宋体" w:cs="宋体"/>
                <w:color w:val="FF0000"/>
                <w:kern w:val="0"/>
                <w:sz w:val="24"/>
              </w:rPr>
            </w:pPr>
            <w:r>
              <w:rPr>
                <w:rFonts w:hint="eastAsia" w:ascii="仿宋_GB2312" w:hAnsi="宋体" w:eastAsia="仿宋_GB2312" w:cs="宋体"/>
                <w:color w:val="FF0000"/>
                <w:kern w:val="0"/>
                <w:sz w:val="28"/>
                <w:szCs w:val="28"/>
              </w:rPr>
              <w:t>科研分</w:t>
            </w:r>
          </w:p>
        </w:tc>
        <w:tc>
          <w:tcPr>
            <w:tcW w:w="9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90" w:lineRule="atLeast"/>
              <w:jc w:val="center"/>
              <w:rPr>
                <w:rFonts w:hint="default" w:ascii="仿宋_GB2312" w:hAnsi="宋体" w:eastAsia="仿宋_GB2312" w:cs="宋体"/>
                <w:color w:val="FF0000"/>
                <w:kern w:val="0"/>
                <w:sz w:val="28"/>
                <w:szCs w:val="28"/>
                <w:lang w:val="en-US" w:eastAsia="zh-CN"/>
              </w:rPr>
            </w:pPr>
            <w:r>
              <w:rPr>
                <w:rFonts w:hint="eastAsia" w:ascii="仿宋_GB2312" w:hAnsi="宋体" w:eastAsia="仿宋_GB2312" w:cs="宋体"/>
                <w:color w:val="FF0000"/>
                <w:kern w:val="0"/>
                <w:sz w:val="28"/>
                <w:szCs w:val="28"/>
              </w:rPr>
              <w:t>40</w:t>
            </w:r>
          </w:p>
        </w:tc>
        <w:tc>
          <w:tcPr>
            <w:tcW w:w="91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90" w:lineRule="atLeast"/>
              <w:jc w:val="center"/>
              <w:rPr>
                <w:rFonts w:hint="default" w:ascii="仿宋_GB2312" w:hAnsi="宋体" w:eastAsia="仿宋_GB2312" w:cs="宋体"/>
                <w:color w:val="FF0000"/>
                <w:kern w:val="0"/>
                <w:sz w:val="28"/>
                <w:szCs w:val="28"/>
                <w:lang w:val="en-US" w:eastAsia="zh-CN"/>
              </w:rPr>
            </w:pPr>
            <w:r>
              <w:rPr>
                <w:rFonts w:hint="eastAsia" w:ascii="仿宋_GB2312" w:hAnsi="宋体" w:eastAsia="仿宋_GB2312" w:cs="宋体"/>
                <w:color w:val="FF0000"/>
                <w:kern w:val="0"/>
                <w:sz w:val="28"/>
                <w:szCs w:val="28"/>
              </w:rPr>
              <w:t>30</w:t>
            </w:r>
          </w:p>
        </w:tc>
        <w:tc>
          <w:tcPr>
            <w:tcW w:w="9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90" w:lineRule="atLeast"/>
              <w:jc w:val="center"/>
              <w:rPr>
                <w:rFonts w:hint="default" w:ascii="仿宋_GB2312" w:hAnsi="宋体" w:eastAsia="仿宋_GB2312" w:cs="宋体"/>
                <w:color w:val="FF0000"/>
                <w:kern w:val="0"/>
                <w:sz w:val="28"/>
                <w:szCs w:val="28"/>
                <w:lang w:val="en-US" w:eastAsia="zh-CN"/>
              </w:rPr>
            </w:pPr>
            <w:r>
              <w:rPr>
                <w:rFonts w:hint="eastAsia" w:ascii="仿宋_GB2312" w:hAnsi="宋体" w:eastAsia="仿宋_GB2312" w:cs="宋体"/>
                <w:color w:val="FF0000"/>
                <w:kern w:val="0"/>
                <w:sz w:val="28"/>
                <w:szCs w:val="28"/>
              </w:rPr>
              <w:t>30</w:t>
            </w:r>
          </w:p>
        </w:tc>
        <w:tc>
          <w:tcPr>
            <w:tcW w:w="91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90" w:lineRule="atLeast"/>
              <w:jc w:val="center"/>
              <w:rPr>
                <w:rFonts w:hint="default" w:ascii="仿宋_GB2312" w:hAnsi="宋体" w:eastAsia="仿宋_GB2312" w:cs="宋体"/>
                <w:color w:val="FF0000"/>
                <w:kern w:val="0"/>
                <w:sz w:val="28"/>
                <w:szCs w:val="28"/>
                <w:lang w:val="en-US" w:eastAsia="zh-CN"/>
              </w:rPr>
            </w:pPr>
            <w:r>
              <w:rPr>
                <w:rFonts w:hint="eastAsia" w:ascii="仿宋_GB2312" w:hAnsi="宋体" w:eastAsia="仿宋_GB2312" w:cs="宋体"/>
                <w:color w:val="FF0000"/>
                <w:kern w:val="0"/>
                <w:sz w:val="28"/>
                <w:szCs w:val="28"/>
              </w:rPr>
              <w:t>30</w:t>
            </w:r>
          </w:p>
        </w:tc>
        <w:tc>
          <w:tcPr>
            <w:tcW w:w="9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90" w:lineRule="atLeast"/>
              <w:jc w:val="center"/>
              <w:rPr>
                <w:rFonts w:hint="default" w:ascii="仿宋_GB2312" w:hAnsi="宋体" w:eastAsia="仿宋_GB2312" w:cs="宋体"/>
                <w:color w:val="FF0000"/>
                <w:kern w:val="0"/>
                <w:sz w:val="28"/>
                <w:szCs w:val="28"/>
                <w:lang w:val="en-US" w:eastAsia="zh-CN"/>
              </w:rPr>
            </w:pPr>
            <w:r>
              <w:rPr>
                <w:rFonts w:hint="eastAsia" w:ascii="仿宋_GB2312" w:hAnsi="宋体" w:eastAsia="仿宋_GB2312" w:cs="宋体"/>
                <w:color w:val="FF0000"/>
                <w:kern w:val="0"/>
                <w:sz w:val="28"/>
                <w:szCs w:val="28"/>
              </w:rPr>
              <w:t>20</w:t>
            </w:r>
          </w:p>
        </w:tc>
        <w:tc>
          <w:tcPr>
            <w:tcW w:w="91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90" w:lineRule="atLeast"/>
              <w:jc w:val="center"/>
              <w:rPr>
                <w:rFonts w:hint="eastAsia"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20</w:t>
            </w:r>
          </w:p>
        </w:tc>
        <w:tc>
          <w:tcPr>
            <w:tcW w:w="12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90" w:lineRule="atLeast"/>
              <w:jc w:val="center"/>
              <w:rPr>
                <w:rFonts w:hint="eastAsia" w:ascii="仿宋_GB2312" w:hAnsi="宋体" w:eastAsia="仿宋_GB2312" w:cs="宋体"/>
                <w:color w:val="FF0000"/>
                <w:kern w:val="0"/>
                <w:sz w:val="28"/>
                <w:szCs w:val="28"/>
                <w:lang w:eastAsia="zh-CN"/>
              </w:rPr>
            </w:pPr>
            <w:r>
              <w:rPr>
                <w:rFonts w:hint="eastAsia" w:ascii="仿宋_GB2312" w:hAnsi="宋体" w:eastAsia="仿宋_GB2312" w:cs="宋体"/>
                <w:color w:val="FF0000"/>
                <w:kern w:val="0"/>
                <w:sz w:val="28"/>
                <w:szCs w:val="28"/>
              </w:rPr>
              <w:t>20</w:t>
            </w:r>
          </w:p>
        </w:tc>
        <w:tc>
          <w:tcPr>
            <w:tcW w:w="123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90" w:lineRule="atLeast"/>
              <w:jc w:val="center"/>
              <w:rPr>
                <w:rFonts w:hint="default" w:ascii="仿宋_GB2312" w:hAnsi="宋体" w:eastAsia="仿宋_GB2312" w:cs="宋体"/>
                <w:color w:val="FF0000"/>
                <w:kern w:val="0"/>
                <w:sz w:val="28"/>
                <w:szCs w:val="28"/>
                <w:lang w:val="en-US" w:eastAsia="zh-CN"/>
              </w:rPr>
            </w:pPr>
            <w:r>
              <w:rPr>
                <w:rFonts w:hint="eastAsia" w:ascii="仿宋_GB2312" w:hAnsi="宋体" w:eastAsia="仿宋_GB2312" w:cs="宋体"/>
                <w:color w:val="FF0000"/>
                <w:kern w:val="0"/>
                <w:sz w:val="28"/>
                <w:szCs w:val="28"/>
              </w:rPr>
              <w:t>10</w:t>
            </w:r>
          </w:p>
        </w:tc>
        <w:tc>
          <w:tcPr>
            <w:tcW w:w="124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before="100" w:beforeAutospacing="1" w:after="100" w:afterAutospacing="1" w:line="490" w:lineRule="atLeast"/>
              <w:jc w:val="center"/>
              <w:rPr>
                <w:rFonts w:hint="default" w:ascii="仿宋_GB2312" w:hAnsi="宋体" w:eastAsia="仿宋_GB2312" w:cs="宋体"/>
                <w:color w:val="FF0000"/>
                <w:kern w:val="0"/>
                <w:sz w:val="28"/>
                <w:szCs w:val="28"/>
                <w:lang w:val="en-US" w:eastAsia="zh-CN"/>
              </w:rPr>
            </w:pPr>
            <w:r>
              <w:rPr>
                <w:rFonts w:hint="eastAsia" w:ascii="仿宋_GB2312" w:hAnsi="宋体" w:eastAsia="仿宋_GB2312" w:cs="宋体"/>
                <w:color w:val="FF0000"/>
                <w:kern w:val="0"/>
                <w:sz w:val="28"/>
                <w:szCs w:val="28"/>
              </w:rPr>
              <w:t>10</w:t>
            </w:r>
          </w:p>
        </w:tc>
      </w:tr>
    </w:tbl>
    <w:p>
      <w:pPr>
        <w:keepNext w:val="0"/>
        <w:keepLines w:val="0"/>
        <w:pageBreakBefore w:val="0"/>
        <w:kinsoku/>
        <w:wordWrap/>
        <w:overflowPunct/>
        <w:topLinePunct w:val="0"/>
        <w:autoSpaceDE/>
        <w:autoSpaceDN/>
        <w:bidi w:val="0"/>
        <w:snapToGrid w:val="0"/>
        <w:spacing w:beforeAutospacing="0" w:afterAutospacing="0" w:line="490" w:lineRule="exact"/>
        <w:jc w:val="both"/>
        <w:textAlignment w:val="auto"/>
        <w:outlineLvl w:val="0"/>
        <w:rPr>
          <w:rFonts w:hint="eastAsia" w:ascii="仿宋" w:hAnsi="仿宋" w:eastAsia="仿宋" w:cs="仿宋"/>
          <w:sz w:val="28"/>
          <w:szCs w:val="28"/>
          <w:lang w:eastAsia="zh-CN"/>
        </w:rPr>
      </w:pPr>
      <w:r>
        <w:rPr>
          <w:rFonts w:hint="eastAsia" w:ascii="仿宋" w:hAnsi="仿宋" w:eastAsia="仿宋" w:cs="仿宋"/>
          <w:sz w:val="28"/>
          <w:szCs w:val="28"/>
          <w:lang w:eastAsia="zh-CN"/>
        </w:rPr>
        <w:t>备注：科（教）研量化计分规则</w:t>
      </w:r>
    </w:p>
    <w:p>
      <w:pPr>
        <w:keepNext w:val="0"/>
        <w:keepLines w:val="0"/>
        <w:pageBreakBefore w:val="0"/>
        <w:kinsoku/>
        <w:wordWrap/>
        <w:overflowPunct/>
        <w:topLinePunct w:val="0"/>
        <w:autoSpaceDE/>
        <w:autoSpaceDN/>
        <w:bidi w:val="0"/>
        <w:snapToGrid w:val="0"/>
        <w:spacing w:beforeAutospacing="0" w:afterAutospacing="0" w:line="490" w:lineRule="exact"/>
        <w:ind w:firstLine="560" w:firstLineChars="200"/>
        <w:jc w:val="both"/>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1、教研项目、教学成果奖、教研论文等参照科研量化管理办法核定等级及分值。</w:t>
      </w:r>
    </w:p>
    <w:p>
      <w:pPr>
        <w:keepNext w:val="0"/>
        <w:keepLines w:val="0"/>
        <w:pageBreakBefore w:val="0"/>
        <w:kinsoku/>
        <w:wordWrap/>
        <w:overflowPunct/>
        <w:topLinePunct w:val="0"/>
        <w:autoSpaceDE/>
        <w:autoSpaceDN/>
        <w:bidi w:val="0"/>
        <w:snapToGrid w:val="0"/>
        <w:spacing w:beforeAutospacing="0" w:afterAutospacing="0" w:line="490" w:lineRule="exact"/>
        <w:ind w:firstLine="560" w:firstLineChars="200"/>
        <w:jc w:val="both"/>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学术论文原则上只计算第一作者或通讯作者的教科研分数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对于二区（含二区）以上SCI论文共同第一（通讯）作者不折算；对于二区以下SCI论文共同第一（通讯）作者中实际排名第一或最后一名通讯作者不折算，其他共同第一（通讯）按照相应人数进行折算论文篇数（外校作者不计入折算基数）。</w:t>
      </w:r>
    </w:p>
    <w:p>
      <w:pPr>
        <w:keepNext w:val="0"/>
        <w:keepLines w:val="0"/>
        <w:pageBreakBefore w:val="0"/>
        <w:kinsoku/>
        <w:wordWrap/>
        <w:overflowPunct/>
        <w:topLinePunct w:val="0"/>
        <w:autoSpaceDE/>
        <w:autoSpaceDN/>
        <w:bidi w:val="0"/>
        <w:snapToGrid w:val="0"/>
        <w:spacing w:beforeAutospacing="0" w:afterAutospacing="0" w:line="490" w:lineRule="exact"/>
        <w:ind w:firstLine="560" w:firstLineChars="200"/>
        <w:jc w:val="both"/>
        <w:textAlignment w:val="auto"/>
        <w:outlineLvl w:val="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出版学术专著与教材者只对主编和</w:t>
      </w:r>
      <w:r>
        <w:rPr>
          <w:rFonts w:hint="eastAsia" w:ascii="仿宋" w:hAnsi="仿宋" w:eastAsia="仿宋" w:cs="仿宋"/>
          <w:sz w:val="28"/>
          <w:szCs w:val="28"/>
          <w:lang w:eastAsia="zh-CN"/>
        </w:rPr>
        <w:t>第一</w:t>
      </w:r>
      <w:r>
        <w:rPr>
          <w:rFonts w:hint="eastAsia" w:ascii="仿宋" w:hAnsi="仿宋" w:eastAsia="仿宋" w:cs="仿宋"/>
          <w:sz w:val="28"/>
          <w:szCs w:val="28"/>
        </w:rPr>
        <w:t>副主编予以计分。对于教科研项目、科技成果及奖励，省部级及以上（项目为非指导性项目）可计算排序前</w:t>
      </w:r>
      <w:r>
        <w:rPr>
          <w:rFonts w:hint="eastAsia" w:ascii="仿宋" w:hAnsi="仿宋" w:eastAsia="仿宋" w:cs="仿宋"/>
          <w:sz w:val="28"/>
          <w:szCs w:val="28"/>
          <w:lang w:eastAsia="zh-CN"/>
        </w:rPr>
        <w:t>三</w:t>
      </w:r>
      <w:r>
        <w:rPr>
          <w:rFonts w:hint="eastAsia" w:ascii="仿宋" w:hAnsi="仿宋" w:eastAsia="仿宋" w:cs="仿宋"/>
          <w:sz w:val="28"/>
          <w:szCs w:val="28"/>
        </w:rPr>
        <w:t>位成员的科研分数，其他级别的只计算</w:t>
      </w:r>
      <w:r>
        <w:rPr>
          <w:rFonts w:hint="eastAsia" w:ascii="仿宋" w:hAnsi="仿宋" w:eastAsia="仿宋" w:cs="仿宋"/>
          <w:sz w:val="28"/>
          <w:szCs w:val="28"/>
          <w:lang w:eastAsia="zh-CN"/>
        </w:rPr>
        <w:t>主持人</w:t>
      </w:r>
      <w:r>
        <w:rPr>
          <w:rFonts w:hint="eastAsia" w:ascii="仿宋" w:hAnsi="仿宋" w:eastAsia="仿宋" w:cs="仿宋"/>
          <w:sz w:val="28"/>
          <w:szCs w:val="28"/>
        </w:rPr>
        <w:t>的科研分数。</w:t>
      </w:r>
    </w:p>
    <w:p>
      <w:pPr>
        <w:keepNext w:val="0"/>
        <w:keepLines w:val="0"/>
        <w:pageBreakBefore w:val="0"/>
        <w:kinsoku/>
        <w:wordWrap/>
        <w:overflowPunct/>
        <w:topLinePunct w:val="0"/>
        <w:autoSpaceDE/>
        <w:autoSpaceDN/>
        <w:bidi w:val="0"/>
        <w:snapToGrid w:val="0"/>
        <w:spacing w:beforeAutospacing="0" w:afterAutospacing="0" w:line="490" w:lineRule="exact"/>
        <w:ind w:firstLine="560" w:firstLineChars="200"/>
        <w:jc w:val="both"/>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4、关于教科研项目计算的问题。统一以立项时间进行计算，结题不算，一个项目只计算一次。</w:t>
      </w:r>
    </w:p>
    <w:p>
      <w:pPr>
        <w:keepNext w:val="0"/>
        <w:keepLines w:val="0"/>
        <w:pageBreakBefore w:val="0"/>
        <w:kinsoku/>
        <w:wordWrap/>
        <w:overflowPunct/>
        <w:topLinePunct w:val="0"/>
        <w:autoSpaceDE/>
        <w:autoSpaceDN/>
        <w:bidi w:val="0"/>
        <w:snapToGrid w:val="0"/>
        <w:spacing w:beforeAutospacing="0" w:afterAutospacing="0" w:line="490" w:lineRule="exact"/>
        <w:ind w:firstLine="560" w:firstLineChars="200"/>
        <w:jc w:val="both"/>
        <w:textAlignment w:val="auto"/>
        <w:outlineLvl w:val="0"/>
        <w:rPr>
          <w:rFonts w:hint="eastAsia" w:ascii="仿宋_GB2312" w:hAnsi="宋体" w:eastAsia="仿宋_GB2312" w:cs="宋体"/>
          <w:kern w:val="0"/>
          <w:sz w:val="32"/>
          <w:szCs w:val="32"/>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科研项目（课题）、学术论文、获奖等成果的署名，必须是“湖北医药学院”或“湖北医药学院附属XX医院”。</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kern w:val="0"/>
          <w:sz w:val="32"/>
          <w:szCs w:val="32"/>
        </w:rPr>
        <w:t>（三）各单位应结合实际，以学校制定的基本职责为基础，制定具体的岗位职责，报学校非教师专业技术岗位聘用委员会审定，并在岗位聘用合同中予以明确。</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三、聘用条件</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（一）基本要求</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遵纪守法，爱岗敬业，恪守职业道德，有责任心，有较好的服务意识，能较好承担并完成受聘岗位工作。</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（二）基本条件</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.四级岗位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在正高级岗位上任职，聘期考核合格。</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.五级岗位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副高级岗位上任职11年以上，完成岗位规定的工作量，聘期考核合格，任职期内取得以下成绩：以第一作者或通讯作者（并列第一作者和并列通讯作者除外）发表本专业高水平学术论文（中文需为核心期刊）合计3篇以上，或SCI收录论文1篇及以上；或荣获本行业领域市厅级以上表彰。或达到教师五级岗位条件。</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.六级岗位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副高级岗位上任职6年以上，完成岗位规定的工作量，聘期考核合格，任职期内取得以下成绩：以第一作者或通讯作者（并列第一作者和并列通讯作者除外）发表本专业高水平学术论文（中文需为核心期刊）合计2篇以上；或被SCI收录1篇及以上；或荣获本行业领域市厅级以上表彰。或达到教师六级岗位条件。</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.七级岗位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在副高级岗位上任职，聘期考核合格。</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.八级岗位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在中级岗位上任职12年以上,完成岗位规定的工作量；或在中级岗位上任职3年以上且基本符合副高级岗位任职条件；聘期考核合格。具体业务条件由院系部门根据工作特性制定具体细则。</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.九级岗位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在中级岗位上任职6年以上, 完成岗位规定的工作量；或在中级岗位上任职1年以上且基本符合副高级岗位任职条件；聘期考核合格。具体业务条件由院系部门根据工作特性制定具体细则。</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.十级岗位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在中级岗位上任职，聘期考核合格。</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.十一级岗位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在初级岗位上任职3年以上, 或具有硕士学位在初级岗位上任职，完成岗位规定的工作量,聘期考核合格。</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lang w:eastAsia="zh-CN"/>
        </w:rPr>
        <w:t>.十二级岗位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在初级岗位上任职，聘期考核合格。</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(三)业务条件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业务条件包括工作能力、工作业绩、学术水平，由院系、部门根据工作特性制订具体细则，报学校</w:t>
      </w:r>
      <w:r>
        <w:rPr>
          <w:rFonts w:hint="eastAsia" w:ascii="仿宋_GB2312" w:hAnsi="Times New Roman" w:eastAsia="仿宋_GB2312"/>
          <w:color w:val="000000"/>
          <w:sz w:val="32"/>
          <w:szCs w:val="32"/>
          <w:lang w:val="en-US" w:eastAsia="zh-CN"/>
        </w:rPr>
        <w:t>岗位设置与聘任领导小组办公室经批准通过后实行</w:t>
      </w:r>
      <w:r>
        <w:rPr>
          <w:rFonts w:hint="eastAsia" w:ascii="仿宋_GB2312" w:hAnsi="仿宋_GB2312" w:eastAsia="仿宋_GB2312" w:cs="仿宋_GB2312"/>
          <w:sz w:val="32"/>
          <w:szCs w:val="32"/>
          <w:lang w:eastAsia="zh-CN"/>
        </w:rPr>
        <w:t>。</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黑体" w:hAnsi="宋体" w:eastAsia="黑体" w:cs="宋体"/>
          <w:kern w:val="0"/>
          <w:sz w:val="32"/>
          <w:szCs w:val="32"/>
          <w:lang w:eastAsia="zh-CN"/>
        </w:rPr>
        <w:t>四、</w:t>
      </w:r>
      <w:r>
        <w:rPr>
          <w:rFonts w:hint="eastAsia" w:ascii="黑体" w:hAnsi="宋体" w:eastAsia="黑体" w:cs="宋体"/>
          <w:kern w:val="0"/>
          <w:sz w:val="32"/>
          <w:szCs w:val="32"/>
        </w:rPr>
        <w:t>岗位聘用组织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教师专业技术岗位设置与聘任工作由学校非教师专业技术岗位聘用委员会负责组织，实行分级管理，竞聘上岗。由于我校非教师专业技术岗位类别多、范围广，为更好地推进非教师专业技术岗位设置与聘任工作，拟在非教师专业技术岗位聘用委员会下设机关综合组、图书资料组、教学实验组三个非教师专业技术岗位设置与聘用工作小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机关综合组主要负责机关处室、直属单位（除图书馆）所属非教师专业技术岗位设置与聘用工作。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图书资料组主要负责图书馆所属非教师专业技术岗位的设置与聘用工作。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教学实验组主要负责校内各教学院系（所、中心）所属非教师专业技术岗位的设置与聘用工作。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非教师专业技术岗位设置与聘用工作小组的主要职责：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（1）负责小组内八级及以下各级岗位设置的具体工作，包括制定本小组各类岗位的设置方案、具体岗位职责、上岗条件和考核办法等；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（2）负责小组内岗位申请聘用人选的资格审查、推荐工作；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（3）负责小组内非教师专业技术中、初级岗位人员的聘用与考核。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非教师专业技术岗位中五、六、七级岗位设置与聘用工作由学校非教师专业技术岗位聘用委员会负责。</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黑体" w:hAnsi="宋体" w:eastAsia="黑体" w:cs="宋体"/>
          <w:kern w:val="0"/>
          <w:sz w:val="32"/>
          <w:szCs w:val="32"/>
          <w:lang w:eastAsia="zh-CN"/>
        </w:rPr>
        <w:t>五</w:t>
      </w:r>
      <w:r>
        <w:rPr>
          <w:rFonts w:hint="eastAsia" w:ascii="黑体" w:hAnsi="宋体" w:eastAsia="黑体" w:cs="宋体"/>
          <w:kern w:val="0"/>
          <w:sz w:val="32"/>
          <w:szCs w:val="32"/>
        </w:rPr>
        <w:t>、岗位考核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非教师专业技术岗位的年度考核与聘期考核由所在工作小组负责，其中五、六、七级岗位人员的聘期考核结果需报学校非教师专业技术岗位设置与聘用委员会审定，具体考核办法见附件一。</w:t>
      </w:r>
    </w:p>
    <w:p>
      <w:pPr>
        <w:keepNext w:val="0"/>
        <w:keepLines w:val="0"/>
        <w:pageBreakBefore w:val="0"/>
        <w:widowControl/>
        <w:kinsoku/>
        <w:wordWrap/>
        <w:overflowPunct/>
        <w:topLinePunct w:val="0"/>
        <w:autoSpaceDE/>
        <w:autoSpaceDN/>
        <w:bidi w:val="0"/>
        <w:adjustRightInd/>
        <w:snapToGrid w:val="0"/>
        <w:spacing w:beforeAutospacing="0" w:afterAutospacing="0" w:line="49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b/>
          <w:bCs/>
          <w:kern w:val="0"/>
          <w:sz w:val="32"/>
          <w:szCs w:val="32"/>
          <w:lang w:eastAsia="zh-CN"/>
        </w:rPr>
        <w:t>六</w:t>
      </w:r>
      <w:r>
        <w:rPr>
          <w:rFonts w:hint="eastAsia" w:ascii="仿宋_GB2312" w:hAnsi="宋体" w:eastAsia="仿宋_GB2312" w:cs="宋体"/>
          <w:b/>
          <w:bCs/>
          <w:kern w:val="0"/>
          <w:sz w:val="32"/>
          <w:szCs w:val="32"/>
        </w:rPr>
        <w:t>、</w:t>
      </w:r>
      <w:r>
        <w:rPr>
          <w:rFonts w:hint="eastAsia" w:ascii="仿宋_GB2312" w:hAnsi="仿宋_GB2312" w:eastAsia="仿宋_GB2312" w:cs="仿宋_GB2312"/>
          <w:b/>
          <w:sz w:val="32"/>
          <w:szCs w:val="32"/>
        </w:rPr>
        <w:t>本办法自</w:t>
      </w:r>
      <w:r>
        <w:rPr>
          <w:rFonts w:hint="eastAsia" w:ascii="仿宋_GB2312" w:hAnsi="仿宋_GB2312" w:eastAsia="仿宋_GB2312" w:cs="仿宋_GB2312"/>
          <w:b/>
          <w:sz w:val="32"/>
          <w:szCs w:val="32"/>
          <w:lang w:eastAsia="zh-CN"/>
        </w:rPr>
        <w:t>发布之日起</w:t>
      </w:r>
      <w:r>
        <w:rPr>
          <w:rFonts w:hint="eastAsia" w:ascii="仿宋_GB2312" w:hAnsi="仿宋_GB2312" w:eastAsia="仿宋_GB2312" w:cs="仿宋_GB2312"/>
          <w:b/>
          <w:sz w:val="32"/>
          <w:szCs w:val="32"/>
        </w:rPr>
        <w:t>执行，由</w:t>
      </w:r>
      <w:r>
        <w:rPr>
          <w:rFonts w:hint="eastAsia" w:ascii="仿宋_GB2312" w:hAnsi="仿宋_GB2312" w:eastAsia="仿宋_GB2312" w:cs="仿宋_GB2312"/>
          <w:b/>
          <w:sz w:val="32"/>
          <w:szCs w:val="32"/>
          <w:lang w:eastAsia="zh-CN"/>
        </w:rPr>
        <w:t>人事处</w:t>
      </w:r>
      <w:r>
        <w:rPr>
          <w:rFonts w:hint="eastAsia" w:ascii="仿宋_GB2312" w:hAnsi="仿宋_GB2312" w:eastAsia="仿宋_GB2312" w:cs="仿宋_GB2312"/>
          <w:b/>
          <w:sz w:val="32"/>
          <w:szCs w:val="32"/>
        </w:rPr>
        <w:t>负责解释，原有相关办法与此不符的，以本办法为准。</w:t>
      </w: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jc w:val="left"/>
        <w:rPr>
          <w:rFonts w:ascii="宋体" w:hAnsi="宋体" w:cs="宋体"/>
          <w:kern w:val="0"/>
          <w:sz w:val="24"/>
        </w:rPr>
      </w:pPr>
    </w:p>
    <w:p>
      <w:pPr>
        <w:widowControl/>
        <w:snapToGrid w:val="0"/>
        <w:spacing w:before="100" w:beforeAutospacing="1" w:after="100" w:afterAutospacing="1" w:line="490" w:lineRule="atLeast"/>
        <w:jc w:val="left"/>
        <w:rPr>
          <w:rFonts w:ascii="宋体" w:hAnsi="宋体" w:cs="宋体"/>
          <w:kern w:val="0"/>
          <w:sz w:val="24"/>
        </w:rPr>
      </w:pPr>
      <w:r>
        <w:rPr>
          <w:rFonts w:hint="eastAsia" w:ascii="仿宋_GB2312" w:hAnsi="宋体" w:eastAsia="仿宋_GB2312" w:cs="宋体"/>
          <w:color w:val="000000"/>
          <w:kern w:val="0"/>
          <w:sz w:val="32"/>
          <w:szCs w:val="32"/>
        </w:rPr>
        <w:t>附件：</w:t>
      </w:r>
    </w:p>
    <w:p>
      <w:pPr>
        <w:widowControl/>
        <w:snapToGrid w:val="0"/>
        <w:spacing w:before="100" w:beforeAutospacing="1" w:after="100" w:afterAutospacing="1" w:line="490" w:lineRule="atLeast"/>
        <w:jc w:val="center"/>
        <w:rPr>
          <w:rFonts w:ascii="宋体" w:hAnsi="宋体" w:cs="宋体"/>
          <w:kern w:val="0"/>
          <w:sz w:val="24"/>
        </w:rPr>
      </w:pPr>
      <w:r>
        <w:rPr>
          <w:rFonts w:hint="eastAsia" w:ascii="黑体" w:hAnsi="宋体" w:eastAsia="黑体" w:cs="宋体"/>
          <w:color w:val="000000"/>
          <w:kern w:val="0"/>
          <w:sz w:val="36"/>
          <w:szCs w:val="36"/>
        </w:rPr>
        <w:t>湖北医药学院非教师专业技术岗位</w:t>
      </w:r>
    </w:p>
    <w:p>
      <w:pPr>
        <w:widowControl/>
        <w:snapToGrid w:val="0"/>
        <w:spacing w:before="100" w:beforeAutospacing="1" w:after="100" w:afterAutospacing="1" w:line="490" w:lineRule="atLeast"/>
        <w:jc w:val="center"/>
        <w:rPr>
          <w:rFonts w:ascii="宋体" w:hAnsi="宋体" w:cs="宋体"/>
          <w:kern w:val="0"/>
          <w:sz w:val="24"/>
        </w:rPr>
      </w:pPr>
      <w:r>
        <w:rPr>
          <w:rFonts w:hint="eastAsia" w:ascii="黑体" w:hAnsi="宋体" w:eastAsia="黑体" w:cs="宋体"/>
          <w:color w:val="000000"/>
          <w:kern w:val="0"/>
          <w:sz w:val="36"/>
          <w:szCs w:val="36"/>
        </w:rPr>
        <w:t>年度和聘期考核办法</w:t>
      </w:r>
    </w:p>
    <w:p>
      <w:pPr>
        <w:widowControl/>
        <w:snapToGrid w:val="0"/>
        <w:spacing w:before="100" w:beforeAutospacing="1" w:after="100" w:afterAutospacing="1" w:line="490" w:lineRule="atLeast"/>
        <w:jc w:val="center"/>
        <w:rPr>
          <w:rFonts w:ascii="宋体" w:hAnsi="宋体" w:cs="宋体"/>
          <w:kern w:val="0"/>
          <w:sz w:val="24"/>
        </w:rPr>
      </w:pPr>
      <w:r>
        <w:rPr>
          <w:rFonts w:hint="eastAsia" w:ascii="仿宋_GB2312" w:hAnsi="宋体" w:eastAsia="仿宋_GB2312" w:cs="宋体"/>
          <w:b/>
          <w:bCs/>
          <w:color w:val="000000"/>
          <w:kern w:val="0"/>
          <w:sz w:val="32"/>
          <w:szCs w:val="32"/>
        </w:rPr>
        <w:t> </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根据《湖北医药学院岗位设置与聘任管理实施办法》和上级有关文件精神，为做好非教师专业技术岗位设置管理工作，建立和完善考核评价标准和评价机制，结合我校实际，制定本办法。</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黑体" w:hAnsi="宋体" w:eastAsia="黑体" w:cs="宋体"/>
          <w:color w:val="000000"/>
          <w:kern w:val="0"/>
          <w:sz w:val="32"/>
          <w:szCs w:val="32"/>
        </w:rPr>
        <w:t>一、考核原则</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考核是非教师专业技术岗位聘任与管理的重要环节，必须遵循以下原则：</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（一）坚持标准、客观公正；</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（二）全面考核、突出绩效；</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（三）定性定量相结合，以定量考核为主；</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（四）校、院两级考核相结合，分层考核。</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黑体" w:hAnsi="宋体" w:eastAsia="黑体" w:cs="宋体"/>
          <w:color w:val="000000"/>
          <w:kern w:val="0"/>
          <w:sz w:val="32"/>
          <w:szCs w:val="32"/>
        </w:rPr>
        <w:t>二、考核内容及与等次</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非教师专业技术岗位考核分为年度考核和聘期考核。</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（一）年度考核</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主要考核聘用人员的思想政治表现、职业道德、工作态度、工作进展和工作业绩等，重点是工作业绩。年度考核结果分为优秀、合格、基本合格、不合格4个等次。</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（二）聘期满考核</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主要考核聘用人员履行岗位职责和聘用合同的情况，重点是考核教学、科研、学科建设等工作业绩。聘期考核结果分为合格、基本合格、不合格3个等次。</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黑体" w:hAnsi="宋体" w:eastAsia="黑体" w:cs="宋体"/>
          <w:color w:val="000000"/>
          <w:kern w:val="0"/>
          <w:sz w:val="32"/>
          <w:szCs w:val="32"/>
        </w:rPr>
        <w:t>三、考核工作的组织</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非教师专业技术岗位考核实行分级管理。</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（一）年度考核</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非教师专业技术人员年度考核由所在机关部处、二级学院及直属单位统一组织，与全校教职工年度考核同步进行。具体程序为：</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1、本人填写《专业技术人员考核登记表》；</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2、个人述职；</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3、考核小组评议，考核等次意见。其中，五至七级岗位考核结果要报学校非教师专业技术岗位设置与聘任委员会审核。</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（二）聘期考核</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非教师专业技术人员聘期考核</w:t>
      </w:r>
      <w:r>
        <w:rPr>
          <w:rFonts w:hint="eastAsia" w:ascii="仿宋_GB2312" w:hAnsi="宋体" w:eastAsia="仿宋_GB2312" w:cs="宋体"/>
          <w:kern w:val="0"/>
          <w:sz w:val="32"/>
          <w:szCs w:val="32"/>
        </w:rPr>
        <w:t>由校非教师专业技术岗位设置与聘任委员会及各非教师专业技术岗位设置与聘任工作小组分级组织。</w:t>
      </w:r>
      <w:r>
        <w:rPr>
          <w:rFonts w:hint="eastAsia" w:ascii="仿宋_GB2312" w:hAnsi="宋体" w:eastAsia="仿宋_GB2312" w:cs="宋体"/>
          <w:color w:val="000000"/>
          <w:kern w:val="0"/>
          <w:sz w:val="32"/>
          <w:szCs w:val="32"/>
        </w:rPr>
        <w:t>其中，五至七级岗位非教师专业技术人员由学校非教师专业技术岗位设置与聘任委员会组织考核，八级及以下岗位非教师专业技术人员由各非教师专业技术岗位设置与聘任工作小组负责组织。具体程序如下：</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l、个人总结，填写《湖北医药学院非教师聘期考核表》；</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2、个人述职，对照聘任合同进行自评；</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3、科计处、各小组对受聘非教师专业技术人员的科研情况进行量化评分；</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4、校非教师专业技术岗位设置与聘用委员会、各非教师专业技术岗位设置与聘任工作小组根据《聘任合同》规定的内容对受聘者进行全面考核，分别提出考核等次意见;</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5、公示考核结果。</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黑体" w:hAnsi="宋体" w:eastAsia="黑体" w:cs="宋体"/>
          <w:color w:val="000000"/>
          <w:kern w:val="0"/>
          <w:sz w:val="32"/>
          <w:szCs w:val="32"/>
        </w:rPr>
        <w:t>四、考核等级的确定</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（一）年度考核</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非教师专业技术人员年度考核等次按学校当年度教职工年度考核方案的相关要求确定。</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（二）聘期考核</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1、合格等次</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完成了受聘岗位规定的各项任务，专业技术工作和科研工作均达到合格标准的考核结果认定为合格。</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2、基本合格等次</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专业技术工作或科研工作单项达标，但不达标项目不低于额定标准的60%的考核结果认定为基本合格。</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3、不合格等次</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有下列情况之一者，聘期考核为不合格：</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1、专业技术工作和科研工作均未达到合格标准的；</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2、专业技术工作或科研工作单项达标，但未达标项目低于额定标准的60%的；</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3、不服从工作安排并造成严重后果的。</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黑体" w:hAnsi="宋体" w:eastAsia="黑体" w:cs="宋体"/>
          <w:color w:val="000000"/>
          <w:kern w:val="0"/>
          <w:sz w:val="32"/>
          <w:szCs w:val="32"/>
        </w:rPr>
        <w:t>五、考核结果的运用</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考核结果是绩效工资分配和续聘、解聘、调整岗位的重要依据。</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（一）年度考核</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按照校内相关政策执行。绩效工资标准按照</w:t>
      </w:r>
      <w:r>
        <w:rPr>
          <w:rFonts w:hint="eastAsia" w:ascii="仿宋_GB2312" w:hAnsi="宋体" w:eastAsia="仿宋_GB2312" w:cs="宋体"/>
          <w:color w:val="000000"/>
          <w:kern w:val="0"/>
          <w:sz w:val="32"/>
          <w:szCs w:val="32"/>
          <w:lang w:eastAsia="zh-CN"/>
        </w:rPr>
        <w:t>学校</w:t>
      </w:r>
      <w:r>
        <w:rPr>
          <w:rFonts w:hint="eastAsia" w:ascii="仿宋_GB2312" w:hAnsi="宋体" w:eastAsia="仿宋_GB2312" w:cs="宋体"/>
          <w:color w:val="000000"/>
          <w:kern w:val="0"/>
          <w:sz w:val="32"/>
          <w:szCs w:val="32"/>
        </w:rPr>
        <w:t>文件执行。</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（二）聘期考核</w:t>
      </w:r>
    </w:p>
    <w:p>
      <w:pPr>
        <w:widowControl/>
        <w:snapToGrid w:val="0"/>
        <w:spacing w:before="100" w:beforeAutospacing="1" w:after="100" w:afterAutospacing="1" w:line="490" w:lineRule="atLeas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1、聘期考核结果为“合格”者，在下一轮岗位聘任中，可申请应聘同级岗位或更高一级岗位。</w:t>
      </w:r>
    </w:p>
    <w:p>
      <w:pPr>
        <w:widowControl/>
        <w:snapToGrid w:val="0"/>
        <w:spacing w:before="100" w:beforeAutospacing="1" w:after="100" w:afterAutospacing="1" w:line="490" w:lineRule="atLeas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2、聘期考核结果为“基本合格”者，在下一轮岗位聘任中，只能申请应聘同级岗位或低一级岗位。扣发聘期内奖励性绩效中业绩津贴总额的10%（在年度考核中已经扣发计算在内，下同。）。</w:t>
      </w:r>
    </w:p>
    <w:p>
      <w:pPr>
        <w:widowControl/>
        <w:snapToGrid w:val="0"/>
        <w:spacing w:before="100" w:beforeAutospacing="1" w:after="100" w:afterAutospacing="1" w:line="490" w:lineRule="atLeast"/>
        <w:ind w:firstLine="640"/>
        <w:jc w:val="left"/>
        <w:rPr>
          <w:rFonts w:ascii="宋体" w:hAnsi="宋体" w:cs="宋体"/>
          <w:kern w:val="0"/>
          <w:sz w:val="24"/>
        </w:rPr>
      </w:pPr>
      <w:r>
        <w:rPr>
          <w:rFonts w:hint="eastAsia" w:ascii="仿宋_GB2312" w:hAnsi="宋体" w:eastAsia="仿宋_GB2312" w:cs="宋体"/>
          <w:color w:val="000000"/>
          <w:kern w:val="0"/>
          <w:sz w:val="32"/>
          <w:szCs w:val="32"/>
        </w:rPr>
        <w:t>3、聘期考核结果为为“不合格”者，在下一轮岗位聘任中，只能申请应聘低一级岗位或者转岗。其中，专业技术工作和科研工作均未达到合格标准或因不服从工作安排并造成严重后果而确定为不合格者，扣发聘期内奖励性绩效中业绩津贴总额的30%；专业技术工作和科研工作单项达标或教学质量评估而确定为不合格者扣发聘期内奖励性绩效中业绩津贴总额的20%。</w:t>
      </w:r>
    </w:p>
    <w:p/>
    <w:p>
      <w:pPr>
        <w:widowControl/>
        <w:snapToGrid w:val="0"/>
        <w:spacing w:before="100" w:beforeAutospacing="1" w:after="100" w:afterAutospacing="1" w:line="490" w:lineRule="atLeast"/>
        <w:ind w:firstLine="643"/>
        <w:jc w:val="left"/>
        <w:rPr>
          <w:rFonts w:ascii="宋体" w:hAnsi="宋体" w:cs="宋体"/>
          <w:kern w:val="0"/>
          <w:sz w:val="24"/>
        </w:rPr>
      </w:pPr>
    </w:p>
    <w:p>
      <w:pPr>
        <w:widowControl/>
        <w:snapToGrid w:val="0"/>
        <w:spacing w:before="100" w:beforeAutospacing="1" w:after="100" w:afterAutospacing="1" w:line="490" w:lineRule="atLeast"/>
        <w:ind w:firstLine="640"/>
        <w:jc w:val="left"/>
        <w:rPr>
          <w:rFonts w:hint="eastAsia" w:ascii="仿宋_GB2312" w:hAnsi="宋体" w:eastAsia="仿宋_GB2312" w:cs="宋体"/>
          <w:kern w:val="0"/>
          <w:sz w:val="32"/>
          <w:szCs w:val="32"/>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F00BA"/>
    <w:rsid w:val="15BC4237"/>
    <w:rsid w:val="1AE2786B"/>
    <w:rsid w:val="23734785"/>
    <w:rsid w:val="28696A2A"/>
    <w:rsid w:val="2D304F30"/>
    <w:rsid w:val="2EEE4E68"/>
    <w:rsid w:val="36AF00BA"/>
    <w:rsid w:val="4D130F4E"/>
    <w:rsid w:val="5F421C02"/>
    <w:rsid w:val="67404C15"/>
    <w:rsid w:val="69E47CAB"/>
    <w:rsid w:val="70F26A49"/>
    <w:rsid w:val="76281D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2019-06-18T01:10:00Z</dcterms:created>
  <dc:creator>黄金</dc:creator>
  <cp:lastModifiedBy>耿菊萍</cp:lastModifiedBy>
  <dcterms:modified xsi:type="dcterms:W3CDTF">2020-10-23T08:25:49Z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