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90" w:lineRule="exact"/>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eastAsia="zh-CN"/>
        </w:rPr>
        <w:t>附件</w:t>
      </w:r>
      <w:r>
        <w:rPr>
          <w:rFonts w:hint="eastAsia" w:ascii="仿宋_GB2312" w:eastAsia="仿宋_GB2312" w:cs="Times New Roman"/>
          <w:sz w:val="32"/>
          <w:szCs w:val="32"/>
          <w:lang w:val="en-US" w:eastAsia="zh-CN"/>
        </w:rPr>
        <w:t>5：</w:t>
      </w:r>
      <w:bookmarkStart w:id="0" w:name="_GoBack"/>
      <w:bookmarkEnd w:id="0"/>
    </w:p>
    <w:p>
      <w:pPr>
        <w:keepNext w:val="0"/>
        <w:keepLines w:val="0"/>
        <w:pageBreakBefore w:val="0"/>
        <w:widowControl w:val="0"/>
        <w:kinsoku/>
        <w:wordWrap/>
        <w:overflowPunct/>
        <w:topLinePunct w:val="0"/>
        <w:autoSpaceDE/>
        <w:autoSpaceDN/>
        <w:bidi w:val="0"/>
        <w:adjustRightInd/>
        <w:snapToGrid/>
        <w:spacing w:beforeAutospacing="0" w:afterAutospacing="0" w:line="490" w:lineRule="exact"/>
        <w:ind w:firstLine="0" w:firstLineChars="0"/>
        <w:jc w:val="center"/>
        <w:textAlignment w:val="auto"/>
        <w:rPr>
          <w:rFonts w:hint="eastAsia" w:ascii="黑体" w:hAnsi="Times New Roman" w:eastAsia="黑体" w:cs="Times New Roman"/>
          <w:sz w:val="36"/>
          <w:szCs w:val="36"/>
        </w:rPr>
      </w:pPr>
      <w:r>
        <w:rPr>
          <w:rFonts w:hint="eastAsia" w:ascii="黑体" w:hAnsi="Times New Roman" w:eastAsia="黑体" w:cs="Times New Roman"/>
          <w:sz w:val="36"/>
          <w:szCs w:val="36"/>
        </w:rPr>
        <w:t>湖北医药学院非教师专业技术岗位</w:t>
      </w:r>
    </w:p>
    <w:p>
      <w:pPr>
        <w:keepNext w:val="0"/>
        <w:keepLines w:val="0"/>
        <w:pageBreakBefore w:val="0"/>
        <w:widowControl w:val="0"/>
        <w:kinsoku/>
        <w:wordWrap/>
        <w:overflowPunct/>
        <w:topLinePunct w:val="0"/>
        <w:autoSpaceDE/>
        <w:autoSpaceDN/>
        <w:bidi w:val="0"/>
        <w:adjustRightInd/>
        <w:snapToGrid/>
        <w:spacing w:beforeAutospacing="0" w:afterAutospacing="0" w:line="490" w:lineRule="exact"/>
        <w:ind w:firstLine="0" w:firstLineChars="0"/>
        <w:jc w:val="center"/>
        <w:textAlignment w:val="auto"/>
        <w:rPr>
          <w:rFonts w:hint="eastAsia" w:ascii="黑体" w:hAnsi="Times New Roman" w:eastAsia="黑体" w:cs="Times New Roman"/>
          <w:sz w:val="36"/>
          <w:szCs w:val="36"/>
        </w:rPr>
      </w:pPr>
      <w:r>
        <w:rPr>
          <w:rFonts w:hint="eastAsia" w:ascii="黑体" w:hAnsi="Times New Roman" w:eastAsia="黑体" w:cs="Times New Roman"/>
          <w:sz w:val="36"/>
          <w:szCs w:val="36"/>
        </w:rPr>
        <w:t>年度和聘期考核办法</w:t>
      </w:r>
    </w:p>
    <w:p>
      <w:pPr>
        <w:keepNext w:val="0"/>
        <w:keepLines w:val="0"/>
        <w:pageBreakBefore w:val="0"/>
        <w:kinsoku/>
        <w:wordWrap/>
        <w:overflowPunct/>
        <w:topLinePunct w:val="0"/>
        <w:autoSpaceDE/>
        <w:autoSpaceDN/>
        <w:bidi w:val="0"/>
        <w:adjustRightInd/>
        <w:spacing w:beforeAutospacing="0" w:afterAutospacing="0" w:line="490" w:lineRule="exact"/>
        <w:ind w:firstLine="720" w:firstLineChars="200"/>
        <w:jc w:val="both"/>
        <w:textAlignment w:val="auto"/>
        <w:rPr>
          <w:rFonts w:hint="eastAsia" w:ascii="黑体" w:hAnsi="Times New Roman" w:eastAsia="黑体" w:cs="Times New Roman"/>
          <w:sz w:val="36"/>
          <w:szCs w:val="36"/>
        </w:rPr>
      </w:pP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根据《湖北医药学院岗位设置与聘任管理实施办法》和上级有关文件精神，为做好非教师专业技术岗位设置管理工作，建立和完善考核评价标准和评价机制，结合我校实际，制定本办法。</w:t>
      </w:r>
    </w:p>
    <w:p>
      <w:pPr>
        <w:spacing w:line="490" w:lineRule="exact"/>
        <w:ind w:firstLine="640" w:firstLineChars="200"/>
        <w:rPr>
          <w:rFonts w:hint="eastAsia" w:ascii="黑体" w:hAnsi="Times New Roman" w:eastAsia="黑体" w:cs="Times New Roman"/>
          <w:sz w:val="32"/>
          <w:szCs w:val="32"/>
        </w:rPr>
      </w:pPr>
      <w:r>
        <w:rPr>
          <w:rFonts w:hint="eastAsia" w:ascii="黑体" w:hAnsi="Times New Roman" w:eastAsia="黑体" w:cs="Times New Roman"/>
          <w:sz w:val="32"/>
          <w:szCs w:val="32"/>
        </w:rPr>
        <w:t>一、考核原则</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考核是非教师专业技术岗位聘任与管理的重要环节，必须遵循以下原则：</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（一）坚持标准、客观公正；</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（二）全面考核、突出绩效；</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（三）定性定量相结合，以定量考核为主；</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（四）校、院两级考核相结合，分层考核。</w:t>
      </w:r>
    </w:p>
    <w:p>
      <w:pPr>
        <w:spacing w:line="490" w:lineRule="exact"/>
        <w:ind w:firstLine="640" w:firstLineChars="200"/>
        <w:rPr>
          <w:rFonts w:hint="eastAsia" w:ascii="黑体" w:hAnsi="Times New Roman" w:eastAsia="黑体" w:cs="Times New Roman"/>
          <w:sz w:val="32"/>
          <w:szCs w:val="32"/>
        </w:rPr>
      </w:pPr>
      <w:r>
        <w:rPr>
          <w:rFonts w:hint="eastAsia" w:ascii="黑体" w:hAnsi="Times New Roman" w:eastAsia="黑体" w:cs="Times New Roman"/>
          <w:sz w:val="32"/>
          <w:szCs w:val="32"/>
        </w:rPr>
        <w:t>二、考核内容及与等次</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非教师专业技术岗位考核分为年度考核和聘期考核。</w:t>
      </w:r>
    </w:p>
    <w:p>
      <w:pPr>
        <w:spacing w:line="490" w:lineRule="exact"/>
        <w:ind w:firstLine="643" w:firstLineChars="200"/>
        <w:jc w:val="left"/>
        <w:rPr>
          <w:rFonts w:hint="eastAsia" w:ascii="楷体_GB2312" w:hAnsi="Times New Roman" w:eastAsia="楷体_GB2312" w:cs="Times New Roman"/>
          <w:b/>
          <w:sz w:val="32"/>
          <w:szCs w:val="32"/>
        </w:rPr>
      </w:pPr>
      <w:r>
        <w:rPr>
          <w:rFonts w:hint="eastAsia" w:ascii="楷体_GB2312" w:hAnsi="Times New Roman" w:eastAsia="楷体_GB2312" w:cs="Times New Roman"/>
          <w:b/>
          <w:sz w:val="32"/>
          <w:szCs w:val="32"/>
        </w:rPr>
        <w:t>（一）年度考核</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主要考核聘用人员的思想政治表现、职业道德、工作态度、工作进展和工作业绩等，重点是工作业绩。年度考核结果分为优秀、合格、基本合格、不合格4个等次。</w:t>
      </w:r>
    </w:p>
    <w:p>
      <w:pPr>
        <w:spacing w:line="490" w:lineRule="exact"/>
        <w:ind w:firstLine="643" w:firstLineChars="200"/>
        <w:jc w:val="left"/>
        <w:rPr>
          <w:rFonts w:hint="eastAsia" w:ascii="楷体_GB2312" w:hAnsi="Times New Roman" w:eastAsia="楷体_GB2312" w:cs="Times New Roman"/>
          <w:b/>
          <w:sz w:val="32"/>
          <w:szCs w:val="32"/>
        </w:rPr>
      </w:pPr>
      <w:r>
        <w:rPr>
          <w:rFonts w:hint="eastAsia" w:ascii="楷体_GB2312" w:hAnsi="Times New Roman" w:eastAsia="楷体_GB2312" w:cs="Times New Roman"/>
          <w:b/>
          <w:sz w:val="32"/>
          <w:szCs w:val="32"/>
        </w:rPr>
        <w:t>（二）聘期满考核</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主要考核聘用人员履行岗位职责和聘用合同的情况，重点是考核教学、科研、学科建设等工作业绩。聘期考核结果分为合格、基本合格、不合格3个等次。</w:t>
      </w:r>
    </w:p>
    <w:p>
      <w:pPr>
        <w:spacing w:line="490" w:lineRule="exact"/>
        <w:ind w:firstLine="640" w:firstLineChars="200"/>
        <w:rPr>
          <w:rFonts w:hint="eastAsia" w:ascii="黑体" w:hAnsi="Times New Roman" w:eastAsia="黑体" w:cs="Times New Roman"/>
          <w:sz w:val="32"/>
          <w:szCs w:val="32"/>
        </w:rPr>
      </w:pPr>
      <w:r>
        <w:rPr>
          <w:rFonts w:hint="eastAsia" w:ascii="黑体" w:hAnsi="Times New Roman" w:eastAsia="黑体" w:cs="Times New Roman"/>
          <w:sz w:val="32"/>
          <w:szCs w:val="32"/>
        </w:rPr>
        <w:t>三、考核工作的组织</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非教师专业技术岗位考核实行分级管理。</w:t>
      </w:r>
    </w:p>
    <w:p>
      <w:pPr>
        <w:spacing w:line="490" w:lineRule="exact"/>
        <w:ind w:firstLine="643" w:firstLineChars="200"/>
        <w:jc w:val="left"/>
        <w:rPr>
          <w:rFonts w:hint="eastAsia" w:ascii="楷体_GB2312" w:hAnsi="Times New Roman" w:eastAsia="楷体_GB2312" w:cs="Times New Roman"/>
          <w:b/>
          <w:sz w:val="32"/>
          <w:szCs w:val="32"/>
        </w:rPr>
      </w:pPr>
      <w:r>
        <w:rPr>
          <w:rFonts w:hint="eastAsia" w:ascii="楷体_GB2312" w:hAnsi="Times New Roman" w:eastAsia="楷体_GB2312" w:cs="Times New Roman"/>
          <w:b/>
          <w:sz w:val="32"/>
          <w:szCs w:val="32"/>
        </w:rPr>
        <w:t>（一）年度考核</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非教师专业技术人员年度考核由所在机关部处、二级学院及直属单位统一组织，与全校教职工年度考核同步进行。具体程序为：</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1、本人填写《专业技术人员考核登记表》；</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2、个人述职；</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3、考核小组评议，考核等次意见。其中，五至七级岗位考核结果要报学校非教师专业技术岗位设置与聘任委员会审核。</w:t>
      </w:r>
    </w:p>
    <w:p>
      <w:pPr>
        <w:spacing w:line="490" w:lineRule="exact"/>
        <w:ind w:firstLine="643" w:firstLineChars="200"/>
        <w:jc w:val="left"/>
        <w:rPr>
          <w:rFonts w:hint="eastAsia" w:ascii="楷体_GB2312" w:hAnsi="Times New Roman" w:eastAsia="楷体_GB2312" w:cs="Times New Roman"/>
          <w:b/>
          <w:sz w:val="32"/>
          <w:szCs w:val="32"/>
        </w:rPr>
      </w:pPr>
      <w:r>
        <w:rPr>
          <w:rFonts w:hint="eastAsia" w:ascii="楷体_GB2312" w:hAnsi="Times New Roman" w:eastAsia="楷体_GB2312" w:cs="Times New Roman"/>
          <w:b/>
          <w:sz w:val="32"/>
          <w:szCs w:val="32"/>
        </w:rPr>
        <w:t>（二）聘期考核</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非教师专业技术人员聘期考核由校非教师专业技术岗位设置与聘任委员会及各非教师专业技术岗位设置与聘任工作小组分级组织。其中，五至七级岗位非教师专业技术人员由学校非教师专业技术岗位设置与聘任委员会组织考核，八级及以下岗位非教师专业技术人员由各非教师专业技术岗位设置与聘任工作小组负责组织。具体程序如下：</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l、个人总结，填写《湖北医药学院非教师聘期考核表》；</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2、个人述职，对照聘任合同进行自评；</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3、科计处、各小组对受聘非教师专业技术人员的科研情况进行量化评分；</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4、校非教师专业技术岗位设置与聘用委员会、各非教师专业技术岗位设置与聘任工作小组根据《聘任合同》规定的内容对受聘者进行全面考核，分别提出考核等次意见;</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5、公示考核结果。</w:t>
      </w:r>
    </w:p>
    <w:p>
      <w:pPr>
        <w:spacing w:line="490" w:lineRule="exact"/>
        <w:ind w:firstLine="640" w:firstLineChars="200"/>
        <w:rPr>
          <w:rFonts w:hint="eastAsia" w:ascii="黑体" w:hAnsi="Times New Roman" w:eastAsia="黑体" w:cs="Times New Roman"/>
          <w:sz w:val="32"/>
          <w:szCs w:val="32"/>
        </w:rPr>
      </w:pPr>
      <w:r>
        <w:rPr>
          <w:rFonts w:hint="eastAsia" w:ascii="黑体" w:hAnsi="Times New Roman" w:eastAsia="黑体" w:cs="Times New Roman"/>
          <w:sz w:val="32"/>
          <w:szCs w:val="32"/>
        </w:rPr>
        <w:t>四、考核等级的确定</w:t>
      </w:r>
    </w:p>
    <w:p>
      <w:pPr>
        <w:spacing w:line="490" w:lineRule="exact"/>
        <w:ind w:firstLine="643" w:firstLineChars="200"/>
        <w:jc w:val="left"/>
        <w:rPr>
          <w:rFonts w:hint="eastAsia" w:ascii="楷体_GB2312" w:hAnsi="Times New Roman" w:eastAsia="楷体_GB2312" w:cs="Times New Roman"/>
          <w:b/>
          <w:sz w:val="32"/>
          <w:szCs w:val="32"/>
        </w:rPr>
      </w:pPr>
      <w:r>
        <w:rPr>
          <w:rFonts w:hint="eastAsia" w:ascii="楷体_GB2312" w:hAnsi="Times New Roman" w:eastAsia="楷体_GB2312" w:cs="Times New Roman"/>
          <w:b/>
          <w:sz w:val="32"/>
          <w:szCs w:val="32"/>
        </w:rPr>
        <w:t>（一）年度考核</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非教师专业技术人员年度考核等次按学校当年度教职工年度考核方案的相关要求确定。</w:t>
      </w:r>
    </w:p>
    <w:p>
      <w:pPr>
        <w:spacing w:line="490" w:lineRule="exact"/>
        <w:ind w:firstLine="643" w:firstLineChars="200"/>
        <w:jc w:val="left"/>
        <w:rPr>
          <w:rFonts w:hint="eastAsia" w:ascii="楷体_GB2312" w:hAnsi="Times New Roman" w:eastAsia="楷体_GB2312" w:cs="Times New Roman"/>
          <w:b/>
          <w:sz w:val="32"/>
          <w:szCs w:val="32"/>
        </w:rPr>
      </w:pPr>
      <w:r>
        <w:rPr>
          <w:rFonts w:hint="eastAsia" w:ascii="楷体_GB2312" w:hAnsi="Times New Roman" w:eastAsia="楷体_GB2312" w:cs="Times New Roman"/>
          <w:b/>
          <w:sz w:val="32"/>
          <w:szCs w:val="32"/>
        </w:rPr>
        <w:t>（二）聘期考核</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1、合格等次</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完成了受聘岗位规定的各项任务，专业技术工作和科研工作均达到合格标准的考核结果认定为合格。</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2、基本合格等次</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专业技术工作或科研工作单项达标，但不达标项目不低于额定标准的60%的考核结果认定为基本合格。</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3、不合格等次</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有下列情况之一者，聘期考核为不合格：</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1、专业技术工作和科研工作均未达到合格标准的；</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2、专业技术工作或科研工作单项达标，但未达标项目低于额定标准的60%的；</w:t>
      </w:r>
    </w:p>
    <w:p>
      <w:pPr>
        <w:spacing w:line="490" w:lineRule="exact"/>
        <w:ind w:firstLine="640" w:firstLineChars="200"/>
        <w:rPr>
          <w:rFonts w:ascii="宋体" w:hAnsi="宋体" w:cs="宋体"/>
          <w:kern w:val="0"/>
          <w:sz w:val="24"/>
        </w:rPr>
      </w:pPr>
      <w:r>
        <w:rPr>
          <w:rFonts w:hint="eastAsia" w:ascii="仿宋_GB2312" w:hAnsi="Times New Roman" w:eastAsia="仿宋_GB2312" w:cs="Times New Roman"/>
          <w:sz w:val="32"/>
          <w:szCs w:val="32"/>
        </w:rPr>
        <w:t>3、不服从工作安排并造成严重后果的。</w:t>
      </w:r>
    </w:p>
    <w:p>
      <w:pPr>
        <w:spacing w:line="490" w:lineRule="exact"/>
        <w:ind w:firstLine="640" w:firstLineChars="200"/>
        <w:rPr>
          <w:rFonts w:hint="eastAsia" w:ascii="黑体" w:hAnsi="Times New Roman" w:eastAsia="黑体" w:cs="Times New Roman"/>
          <w:sz w:val="32"/>
          <w:szCs w:val="32"/>
        </w:rPr>
      </w:pPr>
      <w:r>
        <w:rPr>
          <w:rFonts w:hint="eastAsia" w:ascii="黑体" w:hAnsi="Times New Roman" w:eastAsia="黑体" w:cs="Times New Roman"/>
          <w:sz w:val="32"/>
          <w:szCs w:val="32"/>
        </w:rPr>
        <w:t>五、考核结果的运用</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考核结果是绩效工资分配和续聘、解聘、调整岗位的重要依据。</w:t>
      </w:r>
    </w:p>
    <w:p>
      <w:pPr>
        <w:spacing w:line="490" w:lineRule="exact"/>
        <w:ind w:firstLine="643" w:firstLineChars="200"/>
        <w:jc w:val="left"/>
        <w:rPr>
          <w:rFonts w:hint="eastAsia" w:ascii="楷体_GB2312" w:hAnsi="Times New Roman" w:eastAsia="楷体_GB2312" w:cs="Times New Roman"/>
          <w:b/>
          <w:sz w:val="32"/>
          <w:szCs w:val="32"/>
        </w:rPr>
      </w:pPr>
      <w:r>
        <w:rPr>
          <w:rFonts w:hint="eastAsia" w:ascii="楷体_GB2312" w:hAnsi="Times New Roman" w:eastAsia="楷体_GB2312" w:cs="Times New Roman"/>
          <w:b/>
          <w:sz w:val="32"/>
          <w:szCs w:val="32"/>
        </w:rPr>
        <w:t>（一）年度考核</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按照校内相关政策执行。绩效工资标准按照</w:t>
      </w:r>
      <w:r>
        <w:rPr>
          <w:rFonts w:hint="eastAsia" w:ascii="仿宋_GB2312" w:hAnsi="Times New Roman" w:eastAsia="仿宋_GB2312" w:cs="Times New Roman"/>
          <w:sz w:val="32"/>
          <w:szCs w:val="32"/>
          <w:lang w:eastAsia="zh-CN"/>
        </w:rPr>
        <w:t>学校</w:t>
      </w:r>
      <w:r>
        <w:rPr>
          <w:rFonts w:hint="eastAsia" w:ascii="仿宋_GB2312" w:hAnsi="Times New Roman" w:eastAsia="仿宋_GB2312" w:cs="Times New Roman"/>
          <w:sz w:val="32"/>
          <w:szCs w:val="32"/>
        </w:rPr>
        <w:t>文件执行。</w:t>
      </w:r>
    </w:p>
    <w:p>
      <w:pPr>
        <w:spacing w:line="490" w:lineRule="exact"/>
        <w:ind w:firstLine="643" w:firstLineChars="200"/>
        <w:jc w:val="left"/>
        <w:rPr>
          <w:rFonts w:hint="eastAsia" w:ascii="楷体_GB2312" w:hAnsi="Times New Roman" w:eastAsia="楷体_GB2312" w:cs="Times New Roman"/>
          <w:b/>
          <w:sz w:val="32"/>
          <w:szCs w:val="32"/>
        </w:rPr>
      </w:pPr>
      <w:r>
        <w:rPr>
          <w:rFonts w:hint="eastAsia" w:ascii="楷体_GB2312" w:hAnsi="Times New Roman" w:eastAsia="楷体_GB2312" w:cs="Times New Roman"/>
          <w:b/>
          <w:sz w:val="32"/>
          <w:szCs w:val="32"/>
        </w:rPr>
        <w:t>（二）聘期考核</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1、聘期考核结果为“合格”者，在下一轮岗位聘任中，可申请应聘同级岗位或更高一级岗位。</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2、聘期考核结果为“基本合格”者，在下一轮岗位聘任中，只能申请应聘同级岗位或低一级岗位。扣发聘期内奖励性绩效中业绩津贴总额的10%（在年度考核中已经扣发计算在内，下同。）。</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聘期考核结果为为“不合格”者，在下一轮岗位聘任中，只能申请应聘低一级岗位或者转岗。其中，专业技术工作和科研工作均未达到合格标准或因不服从工作安排并造成严重后果而确定为不合格者，扣发聘期内奖励性绩效中业绩津贴总额的30%；专业技术工作和科研工作单项达标或教学质量评估而确定为不合格者扣发聘期内奖励性绩效中业绩津贴总额的20%。</w:t>
      </w:r>
    </w:p>
    <w:p>
      <w:pPr>
        <w:keepNext w:val="0"/>
        <w:keepLines w:val="0"/>
        <w:pageBreakBefore w:val="0"/>
        <w:kinsoku/>
        <w:wordWrap/>
        <w:overflowPunct/>
        <w:topLinePunct w:val="0"/>
        <w:autoSpaceDE/>
        <w:autoSpaceDN/>
        <w:bidi w:val="0"/>
        <w:adjustRightInd/>
        <w:spacing w:beforeAutospacing="0" w:afterAutospacing="0" w:line="490" w:lineRule="exact"/>
        <w:ind w:firstLine="420" w:firstLineChars="200"/>
        <w:jc w:val="both"/>
        <w:textAlignment w:val="auto"/>
      </w:pPr>
    </w:p>
    <w:p>
      <w:pPr>
        <w:keepNext w:val="0"/>
        <w:keepLines w:val="0"/>
        <w:pageBreakBefore w:val="0"/>
        <w:widowControl/>
        <w:kinsoku/>
        <w:wordWrap/>
        <w:overflowPunct/>
        <w:topLinePunct w:val="0"/>
        <w:autoSpaceDE/>
        <w:autoSpaceDN/>
        <w:bidi w:val="0"/>
        <w:adjustRightInd/>
        <w:snapToGrid w:val="0"/>
        <w:spacing w:beforeAutospacing="0" w:afterAutospacing="0" w:line="490" w:lineRule="exact"/>
        <w:ind w:firstLine="480" w:firstLineChars="200"/>
        <w:jc w:val="both"/>
        <w:textAlignment w:val="auto"/>
        <w:rPr>
          <w:rFonts w:ascii="宋体" w:hAnsi="宋体" w:cs="宋体"/>
          <w:kern w:val="0"/>
          <w:sz w:val="24"/>
        </w:rPr>
      </w:pPr>
    </w:p>
    <w:p>
      <w:pPr>
        <w:keepNext w:val="0"/>
        <w:keepLines w:val="0"/>
        <w:pageBreakBefore w:val="0"/>
        <w:widowControl/>
        <w:kinsoku/>
        <w:wordWrap/>
        <w:overflowPunct/>
        <w:topLinePunct w:val="0"/>
        <w:autoSpaceDE/>
        <w:autoSpaceDN/>
        <w:bidi w:val="0"/>
        <w:adjustRightInd/>
        <w:snapToGrid w:val="0"/>
        <w:spacing w:beforeAutospacing="0" w:afterAutospacing="0" w:line="490" w:lineRule="exact"/>
        <w:ind w:firstLine="640" w:firstLineChars="200"/>
        <w:jc w:val="both"/>
        <w:textAlignment w:val="auto"/>
        <w:rPr>
          <w:rFonts w:hint="eastAsia" w:ascii="仿宋_GB2312" w:hAnsi="宋体" w:eastAsia="仿宋_GB2312" w:cs="宋体"/>
          <w:kern w:val="0"/>
          <w:sz w:val="32"/>
          <w:szCs w:val="32"/>
        </w:rPr>
      </w:pP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仿宋_GB2312" w:eastAsia="仿宋_GB2312" w:cs="仿宋_GB2312"/>
          <w:sz w:val="32"/>
          <w:szCs w:val="32"/>
          <w:lang w:eastAsia="zh-CN"/>
        </w:rPr>
      </w:pP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仿宋_GB2312" w:eastAsia="仿宋_GB2312" w:cs="仿宋_GB2312"/>
          <w:sz w:val="32"/>
          <w:szCs w:val="32"/>
          <w:lang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EB2016"/>
    <w:rsid w:val="0DEB2016"/>
    <w:rsid w:val="2AD428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2020-06-15T02:19:00Z</dcterms:created>
  <dc:creator>黄金</dc:creator>
  <cp:lastModifiedBy>黄金</cp:lastModifiedBy>
  <dcterms:modified xsi:type="dcterms:W3CDTF">2020-06-29T01:10:26Z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