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490" w:lineRule="exact"/>
        <w:textAlignment w:val="auto"/>
        <w:outlineLvl w:val="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附件3：</w:t>
      </w:r>
    </w:p>
    <w:p>
      <w:pPr>
        <w:keepNext w:val="0"/>
        <w:keepLines w:val="0"/>
        <w:pageBreakBefore w:val="0"/>
        <w:kinsoku/>
        <w:wordWrap/>
        <w:overflowPunct/>
        <w:topLinePunct w:val="0"/>
        <w:autoSpaceDE/>
        <w:autoSpaceDN/>
        <w:bidi w:val="0"/>
        <w:adjustRightInd/>
        <w:spacing w:line="490" w:lineRule="exact"/>
        <w:jc w:val="left"/>
        <w:textAlignment w:val="auto"/>
        <w:rPr>
          <w:rFonts w:hint="default" w:ascii="黑体" w:hAnsi="Times New Roman" w:eastAsia="黑体" w:cs="Times New Roman"/>
          <w:sz w:val="36"/>
          <w:szCs w:val="36"/>
          <w:lang w:val="en-US" w:eastAsia="zh-CN"/>
        </w:rPr>
      </w:pPr>
    </w:p>
    <w:p>
      <w:pPr>
        <w:keepNext w:val="0"/>
        <w:keepLines w:val="0"/>
        <w:pageBreakBefore w:val="0"/>
        <w:kinsoku/>
        <w:wordWrap/>
        <w:overflowPunct/>
        <w:topLinePunct w:val="0"/>
        <w:autoSpaceDE/>
        <w:autoSpaceDN/>
        <w:bidi w:val="0"/>
        <w:adjustRightInd/>
        <w:spacing w:line="490" w:lineRule="exact"/>
        <w:jc w:val="center"/>
        <w:textAlignment w:val="auto"/>
        <w:rPr>
          <w:rFonts w:hint="eastAsia" w:ascii="黑体" w:hAnsi="Times New Roman" w:eastAsia="黑体" w:cs="Times New Roman"/>
          <w:sz w:val="36"/>
          <w:szCs w:val="36"/>
          <w:lang w:val="en-US" w:eastAsia="zh-CN"/>
        </w:rPr>
      </w:pPr>
      <w:r>
        <w:rPr>
          <w:rFonts w:hint="eastAsia" w:ascii="黑体" w:hAnsi="Times New Roman" w:eastAsia="黑体" w:cs="Times New Roman"/>
          <w:sz w:val="36"/>
          <w:szCs w:val="36"/>
          <w:lang w:val="en-US" w:eastAsia="zh-CN"/>
        </w:rPr>
        <w:t>湖北医药学院教师（辅导员）岗位年度和聘期</w:t>
      </w:r>
    </w:p>
    <w:p>
      <w:pPr>
        <w:keepNext w:val="0"/>
        <w:keepLines w:val="0"/>
        <w:pageBreakBefore w:val="0"/>
        <w:kinsoku/>
        <w:wordWrap/>
        <w:overflowPunct/>
        <w:topLinePunct w:val="0"/>
        <w:autoSpaceDE/>
        <w:autoSpaceDN/>
        <w:bidi w:val="0"/>
        <w:adjustRightInd/>
        <w:spacing w:line="490" w:lineRule="exact"/>
        <w:jc w:val="center"/>
        <w:textAlignment w:val="auto"/>
        <w:rPr>
          <w:rFonts w:hint="eastAsia" w:ascii="黑体" w:hAnsi="Times New Roman" w:eastAsia="黑体" w:cs="Times New Roman"/>
          <w:sz w:val="36"/>
          <w:szCs w:val="36"/>
          <w:lang w:val="en-US" w:eastAsia="zh-CN"/>
        </w:rPr>
      </w:pPr>
      <w:r>
        <w:rPr>
          <w:rFonts w:hint="eastAsia" w:ascii="黑体" w:hAnsi="Times New Roman" w:eastAsia="黑体" w:cs="Times New Roman"/>
          <w:sz w:val="36"/>
          <w:szCs w:val="36"/>
          <w:lang w:val="en-US" w:eastAsia="zh-CN"/>
        </w:rPr>
        <w:t>考核办法</w:t>
      </w:r>
    </w:p>
    <w:p>
      <w:pPr>
        <w:keepNext w:val="0"/>
        <w:keepLines w:val="0"/>
        <w:pageBreakBefore w:val="0"/>
        <w:kinsoku/>
        <w:wordWrap/>
        <w:overflowPunct/>
        <w:topLinePunct w:val="0"/>
        <w:autoSpaceDE/>
        <w:autoSpaceDN/>
        <w:bidi w:val="0"/>
        <w:adjustRightInd/>
        <w:spacing w:line="490" w:lineRule="exact"/>
        <w:ind w:firstLine="640" w:firstLineChars="200"/>
        <w:textAlignment w:val="auto"/>
        <w:rPr>
          <w:rFonts w:hint="eastAsia" w:ascii="仿宋_GB2312" w:hAnsi="Times New Roman" w:eastAsia="仿宋_GB2312" w:cs="Times New Roman"/>
          <w:sz w:val="32"/>
          <w:szCs w:val="32"/>
          <w:lang w:val="en-US" w:eastAsia="zh-CN"/>
        </w:rPr>
      </w:pPr>
    </w:p>
    <w:p>
      <w:pPr>
        <w:keepNext w:val="0"/>
        <w:keepLines w:val="0"/>
        <w:pageBreakBefore w:val="0"/>
        <w:kinsoku/>
        <w:wordWrap/>
        <w:overflowPunct/>
        <w:topLinePunct w:val="0"/>
        <w:autoSpaceDE/>
        <w:autoSpaceDN/>
        <w:bidi w:val="0"/>
        <w:adjustRightInd/>
        <w:spacing w:line="490" w:lineRule="exact"/>
        <w:ind w:firstLine="640" w:firstLineChars="200"/>
        <w:textAlignment w:val="auto"/>
        <w:outlineLvl w:val="0"/>
        <w:rPr>
          <w:rFonts w:ascii="仿宋" w:hAnsi="仿宋" w:eastAsia="仿宋" w:cs="仿宋"/>
          <w:color w:val="000000"/>
          <w:sz w:val="32"/>
          <w:szCs w:val="32"/>
        </w:rPr>
      </w:pPr>
      <w:r>
        <w:rPr>
          <w:rFonts w:hint="eastAsia" w:ascii="仿宋" w:hAnsi="仿宋" w:eastAsia="仿宋" w:cs="仿宋"/>
          <w:color w:val="000000"/>
          <w:sz w:val="32"/>
          <w:szCs w:val="32"/>
        </w:rPr>
        <w:t>根据《湖北医药学院岗位设置与聘任管理实施办法》和上级有关文件精神，为做好教师</w:t>
      </w:r>
      <w:r>
        <w:rPr>
          <w:rFonts w:hint="eastAsia" w:ascii="仿宋" w:hAnsi="仿宋" w:eastAsia="仿宋" w:cs="仿宋"/>
          <w:color w:val="000000"/>
          <w:sz w:val="32"/>
          <w:szCs w:val="32"/>
          <w:lang w:eastAsia="zh-CN"/>
        </w:rPr>
        <w:t>（辅导员）</w:t>
      </w:r>
      <w:r>
        <w:rPr>
          <w:rFonts w:hint="eastAsia" w:ascii="仿宋" w:hAnsi="仿宋" w:eastAsia="仿宋" w:cs="仿宋"/>
          <w:color w:val="000000"/>
          <w:sz w:val="32"/>
          <w:szCs w:val="32"/>
        </w:rPr>
        <w:t>岗位设置管理工作，建立和完善教师考核评价标准和评价机制，结合我校实际，制定本办法。</w:t>
      </w:r>
    </w:p>
    <w:p>
      <w:pPr>
        <w:spacing w:line="490" w:lineRule="exact"/>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一、考核原则</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考核是教师岗位聘任与管理的重要环节，必须遵循以下原则：</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（一）坚持标准、客观公正；</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（二）全面考核、突出绩效；</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（三）定性定量相结合，以定量考核为主；</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（四）校、院两级考核相结合，分层考核。</w:t>
      </w:r>
    </w:p>
    <w:p>
      <w:pPr>
        <w:spacing w:line="490" w:lineRule="exact"/>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二、考核内容及与等次</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教师岗位考核分为年度考核和聘期考核。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（一）</w:t>
      </w:r>
      <w:r>
        <w:rPr>
          <w:rFonts w:hint="eastAsia" w:ascii="仿宋" w:hAnsi="仿宋" w:eastAsia="仿宋" w:cs="仿宋"/>
          <w:color w:val="000000"/>
          <w:kern w:val="0"/>
          <w:sz w:val="32"/>
          <w:szCs w:val="32"/>
        </w:rPr>
        <w:t>年度考核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主要考核聘用人员的思想政治表现、职业道德、工作态度、工作进展和工作业绩等，重点是工作业绩。年度考核结果分为优秀、合格、基本合格、不合格4个等次。</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聘期满考核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主要考核聘用人员履行岗位职责和聘用合同的情况，重点是考核教学、科研工作业绩。聘期考核结果分为合格、基本合格、不合格3个等次。</w:t>
      </w:r>
    </w:p>
    <w:p>
      <w:pPr>
        <w:spacing w:line="490" w:lineRule="exact"/>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三、考核工作的组织</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教师岗位考核实行分级管理。</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（一）年度考核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教师年度考核由所在二级学院统一组织，与全校教职工年度考核同步进行。具体程序为：</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1、本人填写《专业技术人员考核登记表》；</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2、个人述职；</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3、考核小组评议，考核等次意见。其中，二至七级岗位考核结果要报学校教师岗位设置与聘任委员会审核。</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（二）聘期考核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教师聘期考核由校、院分级组织。其中，二至七级岗位教师由学校教师岗位设置与聘任委员会组织考核，八级及以下岗位教师由各学院岗位设置与聘任工作小组负责组织。具体程序如下：</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l、个人总结，填写《湖北医药学院教师聘期考核表》；</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2、个人述职，对照聘任合同进行自评；</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3、教务处、各学院教师聘任小组和学生对每位受聘教师的教学情况进行教学评估，对每位受聘教师的教学工作量进行量化考核；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4、科技处、各学院对受聘教师的科研情况进行量化评分；</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学</w:t>
      </w:r>
      <w:r>
        <w:rPr>
          <w:rFonts w:hint="eastAsia" w:ascii="仿宋" w:hAnsi="仿宋" w:eastAsia="仿宋" w:cs="仿宋"/>
          <w:color w:val="000000"/>
          <w:kern w:val="0"/>
          <w:sz w:val="32"/>
          <w:szCs w:val="32"/>
        </w:rPr>
        <w:t>校、</w:t>
      </w:r>
      <w:r>
        <w:rPr>
          <w:rFonts w:hint="eastAsia" w:ascii="仿宋" w:hAnsi="仿宋" w:eastAsia="仿宋" w:cs="仿宋"/>
          <w:color w:val="000000"/>
          <w:kern w:val="0"/>
          <w:sz w:val="32"/>
          <w:szCs w:val="32"/>
          <w:lang w:eastAsia="zh-CN"/>
        </w:rPr>
        <w:t>各</w:t>
      </w:r>
      <w:r>
        <w:rPr>
          <w:rFonts w:hint="eastAsia" w:ascii="仿宋" w:hAnsi="仿宋" w:eastAsia="仿宋" w:cs="仿宋"/>
          <w:color w:val="000000"/>
          <w:kern w:val="0"/>
          <w:sz w:val="32"/>
          <w:szCs w:val="32"/>
        </w:rPr>
        <w:t>学院根据《聘任合同》规定的内容对受聘者进行全面考核，分别提出考核等次意见;</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6、公示考核结果。</w:t>
      </w:r>
    </w:p>
    <w:p>
      <w:pPr>
        <w:spacing w:line="490" w:lineRule="exact"/>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四、考核等级的确定</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（一）年度考核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教师年度考核等次按学校当年度教职工年度考核方案的相关要求确定。</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（二）聘期考核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1、合格等次</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FF0000"/>
          <w:kern w:val="0"/>
          <w:sz w:val="32"/>
          <w:szCs w:val="32"/>
        </w:rPr>
      </w:pPr>
      <w:r>
        <w:rPr>
          <w:rFonts w:hint="eastAsia" w:ascii="仿宋" w:hAnsi="仿宋" w:eastAsia="仿宋" w:cs="仿宋"/>
          <w:color w:val="000000"/>
          <w:kern w:val="0"/>
          <w:sz w:val="32"/>
          <w:szCs w:val="32"/>
        </w:rPr>
        <w:t>完成了受聘岗位规定的各项任务，教学和科研工作均达到合格标准</w:t>
      </w:r>
      <w:r>
        <w:rPr>
          <w:rFonts w:hint="eastAsia" w:ascii="仿宋" w:hAnsi="仿宋" w:eastAsia="仿宋" w:cs="仿宋"/>
          <w:color w:val="000000"/>
          <w:kern w:val="0"/>
          <w:sz w:val="32"/>
          <w:szCs w:val="32"/>
          <w:lang w:eastAsia="zh-CN"/>
        </w:rPr>
        <w:t>，</w:t>
      </w:r>
      <w:r>
        <w:rPr>
          <w:rFonts w:hint="eastAsia" w:ascii="仿宋" w:hAnsi="仿宋" w:eastAsia="仿宋" w:cs="仿宋"/>
          <w:color w:val="auto"/>
          <w:kern w:val="0"/>
          <w:sz w:val="32"/>
          <w:szCs w:val="32"/>
        </w:rPr>
        <w:t>考核结果认定为合格。</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2、基本合格等次</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000000"/>
          <w:kern w:val="0"/>
          <w:sz w:val="32"/>
          <w:szCs w:val="32"/>
        </w:rPr>
        <w:t>教学或科研工作单项达标，</w:t>
      </w:r>
      <w:r>
        <w:rPr>
          <w:rFonts w:hint="eastAsia" w:ascii="仿宋" w:hAnsi="仿宋" w:eastAsia="仿宋" w:cs="仿宋"/>
          <w:color w:val="auto"/>
          <w:kern w:val="0"/>
          <w:sz w:val="32"/>
          <w:szCs w:val="32"/>
        </w:rPr>
        <w:t>另一项目不低于额定标准的60%的考核结果认定为基本合格。</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3、不合格等次</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有下列情况之一者，聘期考核为不合格：</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1、教学和科研工作均未达到合格标准的；</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000000"/>
          <w:kern w:val="0"/>
          <w:sz w:val="32"/>
          <w:szCs w:val="32"/>
        </w:rPr>
        <w:t>2、教学或</w:t>
      </w:r>
      <w:r>
        <w:rPr>
          <w:rFonts w:hint="eastAsia" w:ascii="仿宋" w:hAnsi="仿宋" w:eastAsia="仿宋" w:cs="仿宋"/>
          <w:color w:val="auto"/>
          <w:kern w:val="0"/>
          <w:sz w:val="32"/>
          <w:szCs w:val="32"/>
        </w:rPr>
        <w:t>科研工作单项达标，另一项目低于额定标准的60%的；</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3、基本完成教学科研任务，但任期内课程教学质量评估结果有两次及以上位于所在学院排名</w:t>
      </w:r>
      <w:r>
        <w:rPr>
          <w:rFonts w:hint="eastAsia" w:ascii="仿宋" w:hAnsi="仿宋" w:eastAsia="仿宋" w:cs="仿宋"/>
          <w:color w:val="auto"/>
          <w:kern w:val="0"/>
          <w:sz w:val="32"/>
          <w:szCs w:val="32"/>
          <w:lang w:eastAsia="zh-CN"/>
        </w:rPr>
        <w:t>后</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的（视各学院参评教师总数由教务处确定）；</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auto"/>
          <w:kern w:val="0"/>
          <w:sz w:val="32"/>
          <w:szCs w:val="32"/>
        </w:rPr>
      </w:pPr>
      <w:r>
        <w:rPr>
          <w:rFonts w:hint="eastAsia" w:ascii="仿宋" w:hAnsi="仿宋" w:eastAsia="仿宋" w:cs="仿宋"/>
          <w:color w:val="auto"/>
          <w:kern w:val="0"/>
          <w:sz w:val="32"/>
          <w:szCs w:val="32"/>
        </w:rPr>
        <w:t>4、不服从工作安排并造成严重后果的。</w:t>
      </w:r>
    </w:p>
    <w:p>
      <w:pPr>
        <w:spacing w:line="490" w:lineRule="exact"/>
        <w:ind w:firstLine="640" w:firstLineChars="200"/>
        <w:rPr>
          <w:rFonts w:hint="eastAsia" w:ascii="黑体" w:hAnsi="Times New Roman" w:eastAsia="黑体" w:cs="Times New Roman"/>
          <w:sz w:val="32"/>
          <w:szCs w:val="32"/>
        </w:rPr>
      </w:pPr>
      <w:r>
        <w:rPr>
          <w:rFonts w:hint="eastAsia" w:ascii="黑体" w:hAnsi="Times New Roman" w:eastAsia="黑体" w:cs="Times New Roman"/>
          <w:sz w:val="32"/>
          <w:szCs w:val="32"/>
        </w:rPr>
        <w:t>五、考核结果的使用</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auto"/>
          <w:kern w:val="0"/>
          <w:sz w:val="32"/>
          <w:szCs w:val="32"/>
        </w:rPr>
        <w:t>考核结果是薪酬分配和续聘、解聘、调整岗位</w:t>
      </w:r>
      <w:r>
        <w:rPr>
          <w:rFonts w:hint="eastAsia" w:ascii="仿宋" w:hAnsi="仿宋" w:eastAsia="仿宋" w:cs="仿宋"/>
          <w:color w:val="000000"/>
          <w:kern w:val="0"/>
          <w:sz w:val="32"/>
          <w:szCs w:val="32"/>
        </w:rPr>
        <w:t>的重要依据。</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（一）年度考核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1、年度考核结果为“优秀”者，当年院内业绩津贴上浮10%；</w:t>
      </w:r>
      <w:bookmarkStart w:id="0" w:name="_GoBack"/>
      <w:bookmarkEnd w:id="0"/>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2、年度考核结果为“基本合格”者，扣发院内业绩津贴的30%；</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3、年度考核结果为“不合格”者，扣发院内业绩津贴。</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若聘期考核合格，上述扣发的津贴予以补发。</w:t>
      </w:r>
    </w:p>
    <w:p>
      <w:pPr>
        <w:spacing w:line="490" w:lineRule="exact"/>
        <w:ind w:firstLine="643" w:firstLineChars="200"/>
        <w:jc w:val="left"/>
        <w:rPr>
          <w:rFonts w:hint="eastAsia" w:ascii="楷体_GB2312" w:hAnsi="Times New Roman" w:eastAsia="楷体_GB2312" w:cs="Times New Roman"/>
          <w:b/>
          <w:sz w:val="32"/>
          <w:szCs w:val="32"/>
        </w:rPr>
      </w:pPr>
      <w:r>
        <w:rPr>
          <w:rFonts w:hint="eastAsia" w:ascii="楷体_GB2312" w:hAnsi="Times New Roman" w:eastAsia="楷体_GB2312" w:cs="Times New Roman"/>
          <w:b/>
          <w:sz w:val="32"/>
          <w:szCs w:val="32"/>
        </w:rPr>
        <w:t>（二）聘期考核</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1、聘期考核结果为“合格”者，在下一轮岗位聘任中，可申请应聘</w:t>
      </w:r>
      <w:r>
        <w:rPr>
          <w:rFonts w:hint="eastAsia" w:ascii="仿宋" w:hAnsi="仿宋" w:eastAsia="仿宋" w:cs="仿宋"/>
          <w:color w:val="auto"/>
          <w:kern w:val="0"/>
          <w:sz w:val="32"/>
          <w:szCs w:val="32"/>
          <w:highlight w:val="none"/>
        </w:rPr>
        <w:t>同级岗位或更高一级岗位</w:t>
      </w:r>
      <w:r>
        <w:rPr>
          <w:rFonts w:hint="eastAsia" w:ascii="仿宋" w:hAnsi="仿宋" w:eastAsia="仿宋" w:cs="仿宋"/>
          <w:color w:val="000000"/>
          <w:kern w:val="0"/>
          <w:sz w:val="32"/>
          <w:szCs w:val="32"/>
        </w:rPr>
        <w:t>。</w:t>
      </w:r>
    </w:p>
    <w:p>
      <w:pPr>
        <w:keepNext w:val="0"/>
        <w:keepLines w:val="0"/>
        <w:pageBreakBefore w:val="0"/>
        <w:widowControl/>
        <w:kinsoku/>
        <w:wordWrap/>
        <w:overflowPunct/>
        <w:topLinePunct w:val="0"/>
        <w:autoSpaceDE/>
        <w:autoSpaceDN/>
        <w:bidi w:val="0"/>
        <w:adjustRightInd/>
        <w:spacing w:line="49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2、聘期考核结果为“基本合格”者，在下一轮岗位聘任中，只能申请应聘</w:t>
      </w:r>
      <w:r>
        <w:rPr>
          <w:rFonts w:hint="eastAsia" w:ascii="仿宋" w:hAnsi="仿宋" w:eastAsia="仿宋" w:cs="仿宋"/>
          <w:color w:val="auto"/>
          <w:kern w:val="0"/>
          <w:sz w:val="32"/>
          <w:szCs w:val="32"/>
          <w:highlight w:val="none"/>
        </w:rPr>
        <w:t>同级岗位或低一级岗位</w:t>
      </w:r>
      <w:r>
        <w:rPr>
          <w:rFonts w:hint="eastAsia" w:ascii="仿宋" w:hAnsi="仿宋" w:eastAsia="仿宋" w:cs="仿宋"/>
          <w:color w:val="000000"/>
          <w:kern w:val="0"/>
          <w:sz w:val="32"/>
          <w:szCs w:val="32"/>
        </w:rPr>
        <w:t>。扣发聘期内津贴总额的10%（在年度考核中已经扣发计算在内，下同。）。</w:t>
      </w:r>
    </w:p>
    <w:p>
      <w:pPr>
        <w:keepNext w:val="0"/>
        <w:keepLines w:val="0"/>
        <w:pageBreakBefore w:val="0"/>
        <w:widowControl/>
        <w:kinsoku/>
        <w:wordWrap/>
        <w:overflowPunct/>
        <w:topLinePunct w:val="0"/>
        <w:autoSpaceDE/>
        <w:autoSpaceDN/>
        <w:bidi w:val="0"/>
        <w:adjustRightInd/>
        <w:snapToGrid w:val="0"/>
        <w:spacing w:line="490" w:lineRule="exact"/>
        <w:ind w:firstLine="640" w:firstLineChars="200"/>
        <w:jc w:val="lef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3、聘期考核结果为“不合格”者，在下一轮岗位聘任中，只</w:t>
      </w:r>
      <w:r>
        <w:rPr>
          <w:rFonts w:hint="eastAsia" w:ascii="仿宋" w:hAnsi="仿宋" w:eastAsia="仿宋" w:cs="仿宋"/>
          <w:color w:val="auto"/>
          <w:kern w:val="0"/>
          <w:sz w:val="32"/>
          <w:szCs w:val="32"/>
        </w:rPr>
        <w:t>能申请应聘低一级岗位或者转岗。</w:t>
      </w:r>
      <w:r>
        <w:rPr>
          <w:rFonts w:hint="eastAsia" w:ascii="仿宋" w:hAnsi="仿宋" w:eastAsia="仿宋" w:cs="仿宋"/>
          <w:color w:val="000000"/>
          <w:kern w:val="0"/>
          <w:sz w:val="32"/>
          <w:szCs w:val="32"/>
        </w:rPr>
        <w:t>其中，教学和科研工作均未达到合格标准或因不服从工作安排并造成严重后果而确定为不合格者，扣发聘期内津贴总额的30%；教学科研单项达标或教学质量评估而确定为不合格者扣发聘期内津贴总额的20%。</w:t>
      </w:r>
    </w:p>
    <w:p>
      <w:pPr>
        <w:keepNext w:val="0"/>
        <w:keepLines w:val="0"/>
        <w:pageBreakBefore w:val="0"/>
        <w:kinsoku/>
        <w:wordWrap/>
        <w:overflowPunct/>
        <w:topLinePunct w:val="0"/>
        <w:autoSpaceDE/>
        <w:autoSpaceDN/>
        <w:bidi w:val="0"/>
        <w:adjustRightInd/>
        <w:spacing w:line="490" w:lineRule="exact"/>
        <w:ind w:firstLine="640" w:firstLineChars="200"/>
        <w:textAlignment w:val="auto"/>
        <w:rPr>
          <w:rFonts w:ascii="仿宋" w:hAnsi="仿宋" w:eastAsia="仿宋" w:cs="仿宋"/>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C68D3"/>
    <w:rsid w:val="212D2CCD"/>
    <w:rsid w:val="3ACC68D3"/>
    <w:rsid w:val="3DBD23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2020-06-15T01:45:00Z</dcterms:created>
  <dc:creator>黄金</dc:creator>
  <cp:lastModifiedBy>黄金</cp:lastModifiedBy>
  <dcterms:modified xsi:type="dcterms:W3CDTF">2020-06-29T01:08:28Z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